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937"/>
        <w:jc w:val="center"/>
        <w:rPr>
          <w:b/>
          <w:bCs/>
          <w:sz w:val="24"/>
          <w:szCs w:val="24"/>
          <w:highlight w:val="none"/>
        </w:rPr>
      </w:pPr>
      <w:r>
        <w:rPr>
          <w:b/>
          <w:bCs/>
          <w:sz w:val="24"/>
          <w:szCs w:val="24"/>
          <w:highlight w:val="none"/>
        </w:rPr>
        <w:t xml:space="preserve">Извещение о проведении открытого конкурса</w:t>
      </w:r>
      <w:r>
        <w:rPr>
          <w:b/>
          <w:bCs/>
          <w:sz w:val="24"/>
          <w:szCs w:val="24"/>
          <w:highlight w:val="none"/>
        </w:rPr>
      </w:r>
      <w:r>
        <w:rPr>
          <w:b/>
          <w:bCs/>
          <w:sz w:val="24"/>
          <w:szCs w:val="24"/>
          <w:highlight w:val="none"/>
        </w:rPr>
      </w:r>
    </w:p>
    <w:p>
      <w:pPr>
        <w:ind w:left="0" w:right="0" w:firstLine="901"/>
        <w:jc w:val="both"/>
        <w:spacing w:line="272" w:lineRule="atLeast"/>
        <w:shd w:val="clear" w:color="ffffff" w:fill="ffffff"/>
        <w:rPr>
          <w:b/>
          <w:bCs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b/>
          <w:bCs/>
          <w:sz w:val="24"/>
          <w:szCs w:val="24"/>
          <w:highlight w:val="none"/>
        </w:rPr>
        <w:t xml:space="preserve">по отбору управляющей организации для управления многоквартирными домами, </w:t>
      </w:r>
      <w:r>
        <w:rPr>
          <w:b/>
          <w:bCs/>
          <w:sz w:val="24"/>
          <w:szCs w:val="24"/>
          <w:highlight w:val="none"/>
        </w:rPr>
        <w:t xml:space="preserve">расположенными по </w:t>
      </w:r>
      <w:r>
        <w:rPr>
          <w:b/>
          <w:bCs/>
          <w:sz w:val="24"/>
          <w:szCs w:val="24"/>
          <w:highlight w:val="none"/>
        </w:rPr>
        <w:t xml:space="preserve">адресу.: </w:t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highlight w:val="none"/>
        </w:rPr>
        <w:t xml:space="preserve">Иркутск</w:t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highlight w:val="none"/>
        </w:rPr>
        <w:t xml:space="preserve">ая область, г. Тайшет, </w:t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highlight w:val="none"/>
        </w:rPr>
        <w:t xml:space="preserve">мкр. им. Пахотищева, д.8, д.10, д.10а, </w:t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highlight w:val="none"/>
        </w:rPr>
        <w:t xml:space="preserve">объекты конкурса которых объединены в один лот.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</w:rPr>
      </w:r>
      <w:r>
        <w:rPr>
          <w:b/>
          <w:bCs/>
          <w:highlight w:val="none"/>
        </w:rPr>
      </w:r>
    </w:p>
    <w:p>
      <w:pPr>
        <w:jc w:val="center"/>
        <w:rPr>
          <w:b/>
          <w:bCs/>
          <w:sz w:val="24"/>
          <w:szCs w:val="24"/>
          <w:highlight w:val="none"/>
        </w:rPr>
      </w:pPr>
      <w:r>
        <w:rPr>
          <w:b/>
          <w:bCs/>
          <w:sz w:val="24"/>
          <w:szCs w:val="24"/>
          <w:highlight w:val="none"/>
        </w:rPr>
      </w:r>
      <w:r>
        <w:rPr>
          <w:b/>
          <w:bCs/>
          <w:sz w:val="24"/>
          <w:szCs w:val="24"/>
          <w:highlight w:val="none"/>
        </w:rPr>
      </w:r>
      <w:r>
        <w:rPr>
          <w:b/>
          <w:bCs/>
          <w:sz w:val="24"/>
          <w:szCs w:val="24"/>
          <w:highlight w:val="none"/>
        </w:rPr>
      </w:r>
    </w:p>
    <w:p>
      <w:pPr>
        <w:jc w:val="right"/>
        <w:rPr>
          <w:b w:val="0"/>
          <w:bCs w:val="0"/>
          <w:sz w:val="24"/>
          <w:szCs w:val="24"/>
          <w:highlight w:val="none"/>
        </w:rPr>
      </w:pPr>
      <w:r>
        <w:rPr>
          <w:b w:val="0"/>
          <w:bCs w:val="0"/>
          <w:sz w:val="24"/>
          <w:szCs w:val="24"/>
          <w:highlight w:val="none"/>
        </w:rPr>
      </w:r>
      <w:r>
        <w:rPr>
          <w:b w:val="0"/>
          <w:bCs w:val="0"/>
          <w:sz w:val="24"/>
          <w:szCs w:val="24"/>
          <w:highlight w:val="none"/>
        </w:rPr>
        <w:t xml:space="preserve">10 июня 2026 года</w:t>
      </w:r>
      <w:r>
        <w:rPr>
          <w:b w:val="0"/>
          <w:bCs w:val="0"/>
          <w:sz w:val="24"/>
          <w:szCs w:val="24"/>
          <w:highlight w:val="none"/>
        </w:rPr>
      </w:r>
      <w:r>
        <w:rPr>
          <w:b w:val="0"/>
          <w:bCs w:val="0"/>
          <w:sz w:val="24"/>
          <w:szCs w:val="24"/>
          <w:highlight w:val="none"/>
        </w:rPr>
      </w:r>
    </w:p>
    <w:p>
      <w:pPr>
        <w:pStyle w:val="937"/>
        <w:jc w:val="both"/>
        <w:rPr>
          <w:b/>
          <w:sz w:val="24"/>
          <w:szCs w:val="24"/>
          <w:highlight w:val="none"/>
        </w:rPr>
      </w:pPr>
      <w:r>
        <w:rPr>
          <w:b/>
          <w:sz w:val="24"/>
          <w:szCs w:val="24"/>
          <w:highlight w:val="none"/>
        </w:rPr>
        <w:t xml:space="preserve">1. Основание проведения открытого конкурса:</w:t>
      </w:r>
      <w:r>
        <w:rPr>
          <w:b/>
          <w:sz w:val="24"/>
          <w:szCs w:val="24"/>
          <w:highlight w:val="none"/>
        </w:rPr>
      </w:r>
      <w:r>
        <w:rPr>
          <w:b/>
          <w:sz w:val="24"/>
          <w:szCs w:val="24"/>
          <w:highlight w:val="none"/>
        </w:rPr>
      </w:r>
    </w:p>
    <w:p>
      <w:pPr>
        <w:ind w:left="0" w:right="0" w:firstLine="901"/>
        <w:jc w:val="both"/>
        <w:spacing w:line="272" w:lineRule="atLeast"/>
        <w:shd w:val="clear" w:color="ffffff" w:fill="ffffff"/>
        <w:rPr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b w:val="0"/>
          <w:bCs w:val="0"/>
          <w:color w:val="auto"/>
          <w:sz w:val="24"/>
          <w:szCs w:val="24"/>
          <w:highlight w:val="none"/>
        </w:rPr>
        <w:t xml:space="preserve">С</w:t>
      </w:r>
      <w:r>
        <w:rPr>
          <w:b w:val="0"/>
          <w:bCs w:val="0"/>
          <w:color w:val="auto"/>
          <w:sz w:val="24"/>
          <w:szCs w:val="24"/>
          <w:highlight w:val="none"/>
        </w:rPr>
        <w:t xml:space="preserve">обственниками помещений в многоквартирных домах по адресу: </w:t>
      </w:r>
      <w:r>
        <w:rPr>
          <w:rFonts w:ascii="Times New Roman" w:hAnsi="Times New Roman" w:eastAsia="Times New Roman" w:cs="Times New Roman"/>
          <w:color w:val="000000"/>
          <w:sz w:val="24"/>
          <w:highlight w:val="none"/>
        </w:rPr>
        <w:t xml:space="preserve">Иркутская область, г. Тайшет, </w:t>
      </w:r>
      <w:r>
        <w:rPr>
          <w:rFonts w:ascii="Times New Roman" w:hAnsi="Times New Roman" w:eastAsia="Times New Roman" w:cs="Times New Roman"/>
          <w:color w:val="000000"/>
          <w:sz w:val="24"/>
          <w:highlight w:val="none"/>
        </w:rPr>
        <w:t xml:space="preserve">мкр. им. Пахотищева, д.8, д.10, д.10а</w:t>
      </w:r>
      <w:r>
        <w:rPr>
          <w:rFonts w:ascii="Times New Roman" w:hAnsi="Times New Roman" w:eastAsia="Times New Roman" w:cs="Times New Roman"/>
          <w:color w:val="000000"/>
          <w:sz w:val="24"/>
          <w:highlight w:val="none"/>
        </w:rPr>
        <w:t xml:space="preserve"> </w:t>
      </w:r>
      <w:r>
        <w:rPr>
          <w:b w:val="0"/>
          <w:bCs w:val="0"/>
          <w:color w:val="auto"/>
          <w:sz w:val="24"/>
          <w:szCs w:val="24"/>
          <w:highlight w:val="none"/>
        </w:rPr>
        <w:t xml:space="preserve"> не выбран способ</w:t>
      </w:r>
      <w:r>
        <w:rPr>
          <w:b w:val="0"/>
          <w:bCs w:val="0"/>
          <w:color w:val="auto"/>
          <w:sz w:val="24"/>
          <w:szCs w:val="24"/>
          <w:highlight w:val="none"/>
        </w:rPr>
        <w:t xml:space="preserve"> управления указанными  домами.</w:t>
      </w:r>
      <w:r>
        <w:rPr>
          <w:highlight w:val="none"/>
        </w:rPr>
      </w:r>
      <w:r>
        <w:rPr>
          <w:highlight w:val="none"/>
        </w:rPr>
      </w:r>
    </w:p>
    <w:p>
      <w:pPr>
        <w:pStyle w:val="937"/>
        <w:jc w:val="both"/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  <w:t xml:space="preserve">Нормативные правовые акты, на основании которых проводится конкурс: 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ind w:left="0" w:right="0" w:firstLine="708"/>
        <w:jc w:val="both"/>
        <w:spacing w:line="272" w:lineRule="atLeast"/>
        <w:shd w:val="clear" w:color="ffffff" w:fill="ffffff"/>
        <w:rPr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  <w:highlight w:val="none"/>
        </w:rPr>
        <w:t xml:space="preserve">-Гражданский кодекс Российской Федерации;</w:t>
      </w:r>
      <w:r>
        <w:rPr>
          <w:highlight w:val="none"/>
        </w:rPr>
      </w:r>
      <w:r>
        <w:rPr>
          <w:highlight w:val="none"/>
        </w:rPr>
      </w:r>
    </w:p>
    <w:p>
      <w:pPr>
        <w:ind w:left="0" w:right="0" w:firstLine="708"/>
        <w:jc w:val="both"/>
        <w:spacing w:line="272" w:lineRule="atLeast"/>
        <w:shd w:val="clear" w:color="ffffff" w:fill="ffffff"/>
        <w:rPr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  <w:highlight w:val="none"/>
        </w:rPr>
        <w:t xml:space="preserve">-Жилищный кодекс Российской Федерации;</w:t>
      </w:r>
      <w:r>
        <w:rPr>
          <w:highlight w:val="none"/>
        </w:rPr>
      </w:r>
      <w:r>
        <w:rPr>
          <w:highlight w:val="none"/>
        </w:rPr>
      </w:r>
    </w:p>
    <w:p>
      <w:pPr>
        <w:ind w:left="0" w:right="0" w:firstLine="708"/>
        <w:jc w:val="both"/>
        <w:spacing w:line="272" w:lineRule="atLeast"/>
        <w:shd w:val="clear" w:color="ffffff" w:fill="ffffff"/>
        <w:rPr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  <w:highlight w:val="none"/>
        </w:rPr>
        <w:t xml:space="preserve">-Постановление Правительства Российской Федерации от 6 февраля 2006 № 75 «О порядке проведения органом местного самоуправления открытого конкурса по отбору управляющей организации для управления многоквартирным домом».</w:t>
      </w:r>
      <w:r>
        <w:rPr>
          <w:highlight w:val="none"/>
        </w:rPr>
      </w:r>
      <w:r>
        <w:rPr>
          <w:highlight w:val="none"/>
        </w:rPr>
      </w:r>
    </w:p>
    <w:p>
      <w:pPr>
        <w:ind w:left="0" w:right="0" w:firstLine="708"/>
        <w:jc w:val="both"/>
        <w:spacing w:line="272" w:lineRule="atLeast"/>
        <w:shd w:val="clear" w:color="ffffff" w:fill="ffffff"/>
        <w:rPr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  <w:t xml:space="preserve"> -Распоряжение Управления жилищно-коммунального хозяйства ад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  <w:t xml:space="preserve">министрации Тайшетского муниципального округа от 8 июня 2026 года № 20 «О проведении открытого конкурса по отбору управляющей организации для управления  многоквартирными домами, расположенными по адресу: </w:t>
      </w:r>
      <w:r>
        <w:rPr>
          <w:b w:val="0"/>
          <w:bCs w:val="0"/>
          <w:sz w:val="24"/>
          <w:szCs w:val="24"/>
          <w:highlight w:val="none"/>
        </w:rPr>
        <w:t xml:space="preserve">Иркутская область г. Тайшет, </w:t>
      </w:r>
      <w:r>
        <w:rPr>
          <w:rFonts w:ascii="Times New Roman" w:hAnsi="Times New Roman" w:eastAsia="Times New Roman" w:cs="Times New Roman"/>
          <w:color w:val="000000"/>
          <w:sz w:val="24"/>
          <w:highlight w:val="none"/>
        </w:rPr>
        <w:t xml:space="preserve">мкр. им. Пахотищева, д.8, д.10, д.10а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  <w:t xml:space="preserve">(далее распоряжение №20).</w:t>
      </w:r>
      <w:r>
        <w:rPr>
          <w:highlight w:val="none"/>
        </w:rPr>
      </w:r>
      <w:r>
        <w:rPr>
          <w:highlight w:val="none"/>
        </w:rPr>
      </w:r>
    </w:p>
    <w:p>
      <w:pPr>
        <w:pStyle w:val="937"/>
        <w:jc w:val="both"/>
        <w:rPr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highlight w:val="none"/>
        </w:rPr>
        <w:t xml:space="preserve">2. Наименование, место нахождения, почтовый адрес и адрес электронной почты, номер те</w:t>
      </w:r>
      <w:r>
        <w:rPr>
          <w:b/>
          <w:sz w:val="24"/>
          <w:szCs w:val="24"/>
          <w:highlight w:val="none"/>
        </w:rPr>
        <w:t xml:space="preserve">лефона организатора конкурса:</w:t>
      </w:r>
      <w:r>
        <w:rPr>
          <w:sz w:val="24"/>
          <w:szCs w:val="24"/>
          <w:highlight w:val="none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  <w:t xml:space="preserve">Управление жилищно-коммунального хозяйства администрации Тайшетского муниципального округа</w:t>
      </w:r>
      <w:r>
        <w:rPr>
          <w:sz w:val="24"/>
          <w:szCs w:val="24"/>
          <w:highlight w:val="none"/>
        </w:rPr>
        <w:t xml:space="preserve">, адрес: 665009, Иркутская область, г.Тайшет, ул.Свободы,</w:t>
      </w:r>
      <w:r>
        <w:rPr>
          <w:sz w:val="24"/>
          <w:szCs w:val="24"/>
          <w:highlight w:val="none"/>
        </w:rPr>
        <w:t xml:space="preserve"> д.</w:t>
      </w:r>
      <w:r>
        <w:rPr>
          <w:sz w:val="24"/>
          <w:szCs w:val="24"/>
          <w:highlight w:val="none"/>
        </w:rPr>
        <w:t xml:space="preserve">4</w:t>
      </w:r>
      <w:r>
        <w:rPr>
          <w:sz w:val="24"/>
          <w:szCs w:val="24"/>
          <w:highlight w:val="none"/>
        </w:rPr>
        <w:t xml:space="preserve">, помещ.</w:t>
      </w:r>
      <w:r>
        <w:rPr>
          <w:sz w:val="24"/>
          <w:szCs w:val="24"/>
          <w:highlight w:val="none"/>
        </w:rPr>
        <w:t xml:space="preserve">4</w:t>
      </w:r>
      <w:r>
        <w:rPr>
          <w:sz w:val="24"/>
          <w:szCs w:val="24"/>
          <w:highlight w:val="none"/>
        </w:rPr>
        <w:t xml:space="preserve">Н</w:t>
      </w:r>
      <w:r>
        <w:rPr>
          <w:sz w:val="24"/>
          <w:szCs w:val="24"/>
          <w:highlight w:val="none"/>
        </w:rPr>
        <w:t xml:space="preserve">, каб. 28, электронная почта:</w:t>
      </w:r>
      <w:r>
        <w:rPr>
          <w:sz w:val="24"/>
          <w:szCs w:val="24"/>
          <w:highlight w:val="none"/>
          <w:lang w:val="en-US"/>
        </w:rPr>
        <w:fldChar w:fldCharType="begin"/>
      </w:r>
      <w:r>
        <w:rPr>
          <w:sz w:val="24"/>
          <w:szCs w:val="24"/>
          <w:highlight w:val="none"/>
        </w:rPr>
        <w:instrText xml:space="preserve"> </w:instrText>
      </w:r>
      <w:r>
        <w:rPr>
          <w:sz w:val="24"/>
          <w:szCs w:val="24"/>
          <w:highlight w:val="none"/>
          <w:lang w:val="en-US"/>
        </w:rPr>
        <w:instrText xml:space="preserve">HYPERLINK</w:instrText>
      </w:r>
      <w:r>
        <w:rPr>
          <w:sz w:val="24"/>
          <w:szCs w:val="24"/>
          <w:highlight w:val="none"/>
        </w:rPr>
        <w:instrText xml:space="preserve"> "</w:instrText>
      </w:r>
      <w:r>
        <w:rPr>
          <w:sz w:val="24"/>
          <w:szCs w:val="24"/>
          <w:highlight w:val="none"/>
          <w:lang w:val="en-US"/>
        </w:rPr>
        <w:instrText xml:space="preserve">http</w:instrText>
      </w:r>
      <w:r>
        <w:rPr>
          <w:sz w:val="24"/>
          <w:szCs w:val="24"/>
          <w:highlight w:val="none"/>
        </w:rPr>
        <w:instrText xml:space="preserve">://</w:instrText>
      </w:r>
      <w:r>
        <w:rPr>
          <w:sz w:val="24"/>
          <w:szCs w:val="24"/>
          <w:highlight w:val="none"/>
          <w:lang w:val="en-US"/>
        </w:rPr>
        <w:instrText xml:space="preserve">www</w:instrText>
      </w:r>
      <w:r>
        <w:rPr>
          <w:sz w:val="24"/>
          <w:szCs w:val="24"/>
          <w:highlight w:val="none"/>
        </w:rPr>
        <w:instrText xml:space="preserve">.</w:instrText>
      </w:r>
      <w:r>
        <w:rPr>
          <w:sz w:val="24"/>
          <w:szCs w:val="24"/>
          <w:highlight w:val="none"/>
          <w:lang w:val="en-US"/>
        </w:rPr>
        <w:instrText xml:space="preserve">umitgp</w:instrText>
      </w:r>
      <w:r>
        <w:rPr>
          <w:sz w:val="24"/>
          <w:szCs w:val="24"/>
          <w:highlight w:val="none"/>
        </w:rPr>
        <w:instrText xml:space="preserve">@" </w:instrText>
      </w:r>
      <w:r>
        <w:rPr>
          <w:sz w:val="24"/>
          <w:szCs w:val="24"/>
          <w:highlight w:val="none"/>
          <w:lang w:val="en-US"/>
        </w:rPr>
        <w:fldChar w:fldCharType="separate"/>
      </w:r>
      <w:r>
        <w:rPr>
          <w:rStyle w:val="949"/>
          <w:sz w:val="24"/>
          <w:szCs w:val="24"/>
          <w:highlight w:val="none"/>
        </w:rPr>
        <w:t xml:space="preserve">.</w:t>
      </w:r>
      <w:r>
        <w:rPr>
          <w:rStyle w:val="949"/>
          <w:sz w:val="24"/>
          <w:szCs w:val="24"/>
          <w:highlight w:val="none"/>
        </w:rPr>
        <w:t xml:space="preserve">zkh.zkh@</w:t>
      </w:r>
      <w:r>
        <w:rPr>
          <w:sz w:val="24"/>
          <w:szCs w:val="24"/>
          <w:highlight w:val="none"/>
          <w:lang w:val="en-US"/>
        </w:rPr>
        <w:fldChar w:fldCharType="end"/>
      </w:r>
      <w:r>
        <w:rPr>
          <w:sz w:val="24"/>
          <w:szCs w:val="24"/>
          <w:highlight w:val="none"/>
          <w:lang w:val="en-US"/>
        </w:rPr>
        <w:t xml:space="preserve">mail</w:t>
      </w:r>
      <w:r>
        <w:rPr>
          <w:sz w:val="24"/>
          <w:szCs w:val="24"/>
          <w:highlight w:val="none"/>
        </w:rPr>
        <w:t xml:space="preserve">.</w:t>
      </w:r>
      <w:r>
        <w:rPr>
          <w:sz w:val="24"/>
          <w:szCs w:val="24"/>
          <w:highlight w:val="none"/>
          <w:lang w:val="en-US"/>
        </w:rPr>
        <w:t xml:space="preserve">ru</w:t>
      </w:r>
      <w:r>
        <w:rPr>
          <w:sz w:val="24"/>
          <w:szCs w:val="24"/>
          <w:highlight w:val="none"/>
        </w:rPr>
        <w:t xml:space="preserve">., контактный телефон: 8(39563) 2-20-38, 2-04-27.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ind w:firstLine="0"/>
        <w:jc w:val="both"/>
        <w:rPr>
          <w:b/>
          <w:sz w:val="22"/>
          <w:szCs w:val="22"/>
          <w:highlight w:val="none"/>
        </w:rPr>
      </w:pPr>
      <w:r>
        <w:rPr>
          <w:b/>
          <w:sz w:val="24"/>
          <w:szCs w:val="24"/>
          <w:highlight w:val="none"/>
        </w:rPr>
        <w:t xml:space="preserve">3. </w:t>
      </w:r>
      <w:r>
        <w:rPr>
          <w:b/>
          <w:sz w:val="24"/>
          <w:szCs w:val="24"/>
          <w:highlight w:val="none"/>
        </w:rPr>
        <w:t xml:space="preserve">Характеристика объектов конкурса, включая адрес многоквартирного дома, год постройки, этажность, </w:t>
      </w:r>
      <w:r>
        <w:rPr>
          <w:b/>
          <w:sz w:val="24"/>
          <w:szCs w:val="24"/>
          <w:highlight w:val="none"/>
        </w:rPr>
        <w:t xml:space="preserve">количество квартир, пло</w:t>
      </w:r>
      <w:r>
        <w:rPr>
          <w:b/>
          <w:sz w:val="24"/>
          <w:szCs w:val="24"/>
          <w:highlight w:val="none"/>
        </w:rPr>
        <w:t xml:space="preserve">щадь жилы</w:t>
      </w:r>
      <w:r>
        <w:rPr>
          <w:b/>
          <w:sz w:val="24"/>
          <w:szCs w:val="24"/>
          <w:highlight w:val="none"/>
        </w:rPr>
        <w:t xml:space="preserve">х, нежилых помещений и помещений общего пользования, виды благоустройства, серию и тип постройки, а также кадастровый номер (при его наличии) и площадь земельного участка, входящего в состав общего имущества собственников помещений в многоквартирном доме. </w:t>
      </w:r>
      <w:r>
        <w:rPr>
          <w:b/>
          <w:sz w:val="22"/>
          <w:szCs w:val="22"/>
          <w:highlight w:val="none"/>
        </w:rPr>
      </w:r>
      <w:r>
        <w:rPr>
          <w:b/>
          <w:sz w:val="22"/>
          <w:szCs w:val="22"/>
          <w:highlight w:val="none"/>
        </w:rPr>
      </w:r>
    </w:p>
    <w:p>
      <w:pPr>
        <w:ind w:firstLine="360"/>
        <w:jc w:val="both"/>
        <w:rPr>
          <w:sz w:val="22"/>
          <w:szCs w:val="22"/>
          <w:highlight w:val="none"/>
        </w:rPr>
      </w:pPr>
      <w:r>
        <w:rPr>
          <w:b w:val="0"/>
          <w:bCs w:val="0"/>
          <w:sz w:val="24"/>
          <w:szCs w:val="24"/>
          <w:highlight w:val="none"/>
        </w:rPr>
        <w:t xml:space="preserve">Характеристика объекта конкурса по многоквартирному дому, год постройки, этажности,</w:t>
      </w:r>
      <w:r>
        <w:rPr>
          <w:b w:val="0"/>
          <w:bCs w:val="0"/>
          <w:sz w:val="24"/>
          <w:szCs w:val="24"/>
          <w:highlight w:val="none"/>
        </w:rPr>
        <w:t xml:space="preserve"> количества квартир, площади жилых, нежилых помещений и помещений общего использования, видов благоустройства, сери и типа постройки, </w:t>
      </w:r>
      <w:r>
        <w:rPr>
          <w:b w:val="0"/>
          <w:bCs w:val="0"/>
          <w:sz w:val="24"/>
          <w:szCs w:val="24"/>
          <w:highlight w:val="none"/>
        </w:rPr>
        <w:t xml:space="preserve">а также кадастровый номер (при его наличии) и площадь земельного участка, </w:t>
      </w:r>
      <w:r>
        <w:rPr>
          <w:b w:val="0"/>
          <w:bCs w:val="0"/>
          <w:sz w:val="24"/>
          <w:szCs w:val="24"/>
          <w:highlight w:val="none"/>
        </w:rPr>
        <w:t xml:space="preserve">входящих в состав общего имущества собственников помещений в многоквартирном доме, отражены в </w:t>
      </w:r>
      <w:r>
        <w:rPr>
          <w:sz w:val="24"/>
          <w:szCs w:val="24"/>
          <w:highlight w:val="none"/>
        </w:rPr>
        <w:t xml:space="preserve">приложении № 1 к </w:t>
      </w:r>
      <w:r>
        <w:rPr>
          <w:sz w:val="24"/>
          <w:szCs w:val="24"/>
          <w:highlight w:val="none"/>
        </w:rPr>
        <w:t xml:space="preserve">конкурсной документации по открытому конкурсу по отбору управляющей организации для управления многоквартирными домами</w:t>
      </w:r>
      <w:r>
        <w:rPr>
          <w:sz w:val="24"/>
          <w:szCs w:val="24"/>
          <w:highlight w:val="none"/>
        </w:rPr>
        <w:t xml:space="preserve">, </w:t>
      </w:r>
      <w:r>
        <w:rPr>
          <w:sz w:val="24"/>
          <w:szCs w:val="24"/>
          <w:highlight w:val="none"/>
        </w:rPr>
        <w:t xml:space="preserve">утвержденной </w:t>
      </w:r>
      <w:r>
        <w:rPr>
          <w:sz w:val="24"/>
          <w:szCs w:val="24"/>
          <w:highlight w:val="none"/>
        </w:rPr>
        <w:t xml:space="preserve">распоряжением № 20.</w:t>
      </w: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</w:p>
    <w:p>
      <w:pPr>
        <w:pStyle w:val="937"/>
        <w:ind w:firstLine="0"/>
        <w:jc w:val="both"/>
        <w:rPr>
          <w:sz w:val="24"/>
          <w:szCs w:val="24"/>
          <w:highlight w:val="none"/>
        </w:rPr>
      </w:pPr>
      <w:r>
        <w:rPr>
          <w:b/>
          <w:sz w:val="24"/>
          <w:szCs w:val="24"/>
          <w:highlight w:val="none"/>
        </w:rPr>
        <w:t xml:space="preserve">4. </w:t>
      </w:r>
      <w:r>
        <w:rPr>
          <w:b/>
          <w:sz w:val="24"/>
          <w:szCs w:val="24"/>
          <w:highlight w:val="none"/>
        </w:rPr>
        <w:t xml:space="preserve">Перечень обязательных работ и услуг </w:t>
      </w:r>
      <w:r>
        <w:rPr>
          <w:sz w:val="24"/>
          <w:szCs w:val="24"/>
          <w:highlight w:val="none"/>
        </w:rPr>
        <w:t xml:space="preserve">по содержанию и ремонту общего имущества собственников </w:t>
      </w:r>
      <w:r>
        <w:rPr>
          <w:sz w:val="24"/>
          <w:szCs w:val="24"/>
          <w:highlight w:val="none"/>
        </w:rPr>
        <w:t xml:space="preserve">помещений в многоквартирном доме, включая периодичность каждой из таких работ и услуг, указаны в </w:t>
      </w:r>
      <w:r>
        <w:rPr>
          <w:sz w:val="24"/>
          <w:szCs w:val="24"/>
          <w:highlight w:val="none"/>
        </w:rPr>
        <w:t xml:space="preserve">приложении № 2 к </w:t>
      </w:r>
      <w:r>
        <w:rPr>
          <w:sz w:val="24"/>
          <w:szCs w:val="24"/>
          <w:highlight w:val="none"/>
        </w:rPr>
        <w:t xml:space="preserve">конкурсной документации по открытому конкурсу по отбору управляющей организации для управления многоквартирными домами</w:t>
      </w:r>
      <w:r>
        <w:rPr>
          <w:sz w:val="24"/>
          <w:szCs w:val="24"/>
          <w:highlight w:val="none"/>
        </w:rPr>
        <w:t xml:space="preserve">, утвержденной </w:t>
      </w:r>
      <w:r>
        <w:rPr>
          <w:sz w:val="24"/>
          <w:szCs w:val="24"/>
          <w:highlight w:val="none"/>
        </w:rPr>
        <w:t xml:space="preserve">распоряжением № 20.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937"/>
        <w:ind w:firstLine="0"/>
        <w:rPr>
          <w:b/>
          <w:sz w:val="24"/>
          <w:szCs w:val="24"/>
          <w:highlight w:val="none"/>
        </w:rPr>
      </w:pPr>
      <w:r>
        <w:rPr>
          <w:b/>
          <w:sz w:val="24"/>
          <w:szCs w:val="24"/>
          <w:highlight w:val="none"/>
        </w:rPr>
        <w:t xml:space="preserve">5</w:t>
      </w:r>
      <w:r>
        <w:rPr>
          <w:b/>
          <w:sz w:val="24"/>
          <w:szCs w:val="24"/>
          <w:highlight w:val="none"/>
        </w:rPr>
        <w:t xml:space="preserve">. Размер платы за содержание и ремонт жилого помещения составляет:</w:t>
      </w:r>
      <w:r>
        <w:rPr>
          <w:b/>
          <w:sz w:val="24"/>
          <w:szCs w:val="24"/>
          <w:highlight w:val="none"/>
        </w:rPr>
      </w:r>
      <w:r>
        <w:rPr>
          <w:b/>
          <w:sz w:val="24"/>
          <w:szCs w:val="24"/>
          <w:highlight w:val="none"/>
        </w:rPr>
      </w:r>
    </w:p>
    <w:p>
      <w:pPr>
        <w:pStyle w:val="937"/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  <w:t xml:space="preserve"> </w:t>
      </w:r>
      <w:r>
        <w:rPr>
          <w:sz w:val="24"/>
          <w:szCs w:val="24"/>
          <w:highlight w:val="none"/>
        </w:rPr>
        <w:tab/>
      </w:r>
      <w:r>
        <w:rPr>
          <w:sz w:val="24"/>
          <w:szCs w:val="24"/>
          <w:highlight w:val="none"/>
        </w:rPr>
        <w:t xml:space="preserve">Иркутская область г. Тайшет, </w:t>
      </w:r>
      <w:r>
        <w:rPr>
          <w:rFonts w:ascii="Times New Roman" w:hAnsi="Times New Roman" w:eastAsia="Times New Roman" w:cs="Times New Roman"/>
          <w:color w:val="000000"/>
          <w:sz w:val="24"/>
          <w:highlight w:val="none"/>
        </w:rPr>
        <w:t xml:space="preserve">мкр. им. Пахотищева, д.8 </w:t>
      </w:r>
      <w:r>
        <w:rPr>
          <w:sz w:val="24"/>
          <w:szCs w:val="24"/>
          <w:highlight w:val="none"/>
        </w:rPr>
        <w:t xml:space="preserve"> – </w:t>
      </w:r>
      <w:r>
        <w:rPr>
          <w:sz w:val="24"/>
          <w:szCs w:val="24"/>
          <w:highlight w:val="none"/>
        </w:rPr>
        <w:t xml:space="preserve">23,96</w:t>
      </w:r>
      <w:r>
        <w:rPr>
          <w:sz w:val="24"/>
          <w:szCs w:val="24"/>
          <w:highlight w:val="none"/>
        </w:rPr>
        <w:t xml:space="preserve"> </w:t>
      </w:r>
      <w:r>
        <w:rPr>
          <w:sz w:val="24"/>
          <w:szCs w:val="24"/>
          <w:highlight w:val="none"/>
        </w:rPr>
        <w:t xml:space="preserve">руб. </w:t>
      </w:r>
      <w:r>
        <w:rPr>
          <w:sz w:val="24"/>
          <w:szCs w:val="24"/>
          <w:highlight w:val="none"/>
        </w:rPr>
        <w:t xml:space="preserve"> </w:t>
      </w:r>
      <w:r>
        <w:rPr>
          <w:sz w:val="24"/>
          <w:szCs w:val="24"/>
          <w:highlight w:val="none"/>
        </w:rPr>
        <w:t xml:space="preserve">за 1</w:t>
      </w:r>
      <w:r>
        <w:rPr>
          <w:sz w:val="24"/>
          <w:szCs w:val="24"/>
          <w:highlight w:val="none"/>
        </w:rPr>
        <w:t xml:space="preserve"> кв.м. общей пл</w:t>
      </w:r>
      <w:r>
        <w:rPr>
          <w:sz w:val="24"/>
          <w:szCs w:val="24"/>
          <w:highlight w:val="none"/>
        </w:rPr>
        <w:t xml:space="preserve">ощади в месяц;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  <w:tab/>
      </w:r>
      <w:r>
        <w:rPr>
          <w:sz w:val="24"/>
          <w:szCs w:val="24"/>
          <w:highlight w:val="none"/>
        </w:rPr>
        <w:t xml:space="preserve">Иркутская область г. Тайшет, </w:t>
      </w:r>
      <w:r>
        <w:rPr>
          <w:rFonts w:ascii="Times New Roman" w:hAnsi="Times New Roman" w:eastAsia="Times New Roman" w:cs="Times New Roman"/>
          <w:color w:val="000000"/>
          <w:sz w:val="24"/>
          <w:highlight w:val="none"/>
        </w:rPr>
        <w:t xml:space="preserve">мкр. им. Пахотищева, д.10 </w:t>
      </w:r>
      <w:r>
        <w:rPr>
          <w:sz w:val="24"/>
          <w:szCs w:val="24"/>
          <w:highlight w:val="none"/>
        </w:rPr>
        <w:t xml:space="preserve"> – </w:t>
      </w:r>
      <w:r>
        <w:rPr>
          <w:sz w:val="24"/>
          <w:szCs w:val="24"/>
          <w:highlight w:val="none"/>
        </w:rPr>
        <w:t xml:space="preserve">23,96</w:t>
      </w:r>
      <w:r>
        <w:rPr>
          <w:sz w:val="24"/>
          <w:szCs w:val="24"/>
          <w:highlight w:val="none"/>
        </w:rPr>
        <w:t xml:space="preserve"> </w:t>
      </w:r>
      <w:r>
        <w:rPr>
          <w:sz w:val="24"/>
          <w:szCs w:val="24"/>
          <w:highlight w:val="none"/>
        </w:rPr>
        <w:t xml:space="preserve">руб. </w:t>
      </w:r>
      <w:r>
        <w:rPr>
          <w:sz w:val="24"/>
          <w:szCs w:val="24"/>
          <w:highlight w:val="none"/>
        </w:rPr>
        <w:t xml:space="preserve"> </w:t>
      </w:r>
      <w:r>
        <w:rPr>
          <w:sz w:val="24"/>
          <w:szCs w:val="24"/>
          <w:highlight w:val="none"/>
        </w:rPr>
        <w:t xml:space="preserve">за 1</w:t>
      </w:r>
      <w:r>
        <w:rPr>
          <w:sz w:val="24"/>
          <w:szCs w:val="24"/>
          <w:highlight w:val="none"/>
        </w:rPr>
        <w:t xml:space="preserve"> кв.м. общей пл</w:t>
      </w:r>
      <w:r>
        <w:rPr>
          <w:sz w:val="24"/>
          <w:szCs w:val="24"/>
          <w:highlight w:val="none"/>
        </w:rPr>
        <w:t xml:space="preserve">ощади в месяц;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  <w:tab/>
      </w:r>
      <w:r>
        <w:rPr>
          <w:sz w:val="24"/>
          <w:szCs w:val="24"/>
          <w:highlight w:val="none"/>
        </w:rPr>
        <w:t xml:space="preserve">Иркутская область г. Тайшет, </w:t>
      </w:r>
      <w:r>
        <w:rPr>
          <w:rFonts w:ascii="Times New Roman" w:hAnsi="Times New Roman" w:eastAsia="Times New Roman" w:cs="Times New Roman"/>
          <w:color w:val="000000"/>
          <w:sz w:val="24"/>
          <w:highlight w:val="none"/>
        </w:rPr>
        <w:t xml:space="preserve">мкр. им. Пахотищева, д.10а </w:t>
      </w:r>
      <w:r>
        <w:rPr>
          <w:sz w:val="24"/>
          <w:szCs w:val="24"/>
          <w:highlight w:val="none"/>
        </w:rPr>
        <w:t xml:space="preserve"> – </w:t>
      </w:r>
      <w:r>
        <w:rPr>
          <w:sz w:val="24"/>
          <w:szCs w:val="24"/>
          <w:highlight w:val="none"/>
        </w:rPr>
        <w:t xml:space="preserve">23,96</w:t>
      </w:r>
      <w:r>
        <w:rPr>
          <w:sz w:val="24"/>
          <w:szCs w:val="24"/>
          <w:highlight w:val="none"/>
        </w:rPr>
        <w:t xml:space="preserve"> </w:t>
      </w:r>
      <w:r>
        <w:rPr>
          <w:sz w:val="24"/>
          <w:szCs w:val="24"/>
          <w:highlight w:val="none"/>
        </w:rPr>
        <w:t xml:space="preserve">руб. </w:t>
      </w:r>
      <w:r>
        <w:rPr>
          <w:sz w:val="24"/>
          <w:szCs w:val="24"/>
          <w:highlight w:val="none"/>
        </w:rPr>
        <w:t xml:space="preserve"> </w:t>
      </w:r>
      <w:r>
        <w:rPr>
          <w:sz w:val="24"/>
          <w:szCs w:val="24"/>
          <w:highlight w:val="none"/>
        </w:rPr>
        <w:t xml:space="preserve">за 1</w:t>
      </w:r>
      <w:r>
        <w:rPr>
          <w:sz w:val="24"/>
          <w:szCs w:val="24"/>
          <w:highlight w:val="none"/>
        </w:rPr>
        <w:t xml:space="preserve"> кв.м. общей пл</w:t>
      </w:r>
      <w:r>
        <w:rPr>
          <w:sz w:val="24"/>
          <w:szCs w:val="24"/>
          <w:highlight w:val="none"/>
        </w:rPr>
        <w:t xml:space="preserve">ощади в месяц.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937"/>
        <w:rPr>
          <w:sz w:val="24"/>
          <w:szCs w:val="24"/>
          <w:highlight w:val="none"/>
        </w:rPr>
      </w:pPr>
      <w:r>
        <w:rPr>
          <w:b/>
          <w:sz w:val="24"/>
          <w:szCs w:val="24"/>
          <w:highlight w:val="none"/>
        </w:rPr>
        <w:t xml:space="preserve">6</w:t>
      </w:r>
      <w:r>
        <w:rPr>
          <w:b/>
          <w:sz w:val="24"/>
          <w:szCs w:val="24"/>
          <w:highlight w:val="none"/>
        </w:rPr>
        <w:t xml:space="preserve">. Перечень коммунальных услуг, предоставляемых управляющей организацией в порядке, установленном законодательством РФ: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937"/>
        <w:ind w:firstLine="708"/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  <w:t xml:space="preserve">-отопление;</w:t>
      </w:r>
      <w:r>
        <w:rPr>
          <w:sz w:val="24"/>
          <w:szCs w:val="24"/>
          <w:highlight w:val="none"/>
        </w:rPr>
        <w:t xml:space="preserve"> </w:t>
      </w:r>
      <w:r>
        <w:rPr>
          <w:sz w:val="24"/>
          <w:szCs w:val="24"/>
          <w:highlight w:val="none"/>
        </w:rPr>
        <w:t xml:space="preserve">горячее водоснабжение;</w:t>
      </w:r>
      <w:r>
        <w:rPr>
          <w:sz w:val="24"/>
          <w:szCs w:val="24"/>
          <w:highlight w:val="none"/>
        </w:rPr>
        <w:t xml:space="preserve"> </w:t>
      </w:r>
      <w:r>
        <w:rPr>
          <w:sz w:val="24"/>
          <w:szCs w:val="24"/>
          <w:highlight w:val="none"/>
        </w:rPr>
        <w:t xml:space="preserve">холодное водоснабжение;</w:t>
      </w:r>
      <w:r>
        <w:rPr>
          <w:sz w:val="24"/>
          <w:szCs w:val="24"/>
          <w:highlight w:val="none"/>
        </w:rPr>
        <w:t xml:space="preserve"> водоотведение</w:t>
      </w:r>
      <w:r>
        <w:rPr>
          <w:sz w:val="24"/>
          <w:szCs w:val="24"/>
          <w:highlight w:val="none"/>
        </w:rPr>
        <w:t xml:space="preserve">; </w:t>
      </w:r>
      <w:r>
        <w:rPr>
          <w:sz w:val="24"/>
          <w:szCs w:val="24"/>
          <w:highlight w:val="none"/>
        </w:rPr>
        <w:t xml:space="preserve">электроснабжение;</w:t>
      </w:r>
      <w:r>
        <w:rPr>
          <w:sz w:val="24"/>
          <w:szCs w:val="24"/>
          <w:highlight w:val="none"/>
        </w:rPr>
        <w:t xml:space="preserve"> </w:t>
      </w:r>
      <w:r>
        <w:rPr>
          <w:sz w:val="24"/>
          <w:szCs w:val="24"/>
          <w:highlight w:val="none"/>
        </w:rPr>
        <w:t xml:space="preserve">обращение с твердыми коммунальными отходами.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937"/>
        <w:ind w:firstLine="0"/>
        <w:rPr>
          <w:b/>
          <w:sz w:val="24"/>
          <w:szCs w:val="24"/>
          <w:highlight w:val="none"/>
        </w:rPr>
      </w:pPr>
      <w:r>
        <w:rPr>
          <w:b/>
          <w:sz w:val="24"/>
          <w:szCs w:val="24"/>
          <w:highlight w:val="none"/>
        </w:rPr>
        <w:t xml:space="preserve">7</w:t>
      </w:r>
      <w:r>
        <w:rPr>
          <w:b/>
          <w:sz w:val="24"/>
          <w:szCs w:val="24"/>
          <w:highlight w:val="none"/>
        </w:rPr>
        <w:t xml:space="preserve">. Адрес официального сайта, на котором размещена конкурсная документация, срок, место и порядок предоставления конкурсной документации:</w:t>
      </w:r>
      <w:r>
        <w:rPr>
          <w:b/>
          <w:sz w:val="24"/>
          <w:szCs w:val="24"/>
          <w:highlight w:val="none"/>
        </w:rPr>
      </w:r>
      <w:r>
        <w:rPr>
          <w:b/>
          <w:sz w:val="24"/>
          <w:szCs w:val="24"/>
          <w:highlight w:val="none"/>
        </w:rPr>
      </w:r>
    </w:p>
    <w:p>
      <w:pPr>
        <w:pStyle w:val="946"/>
        <w:ind w:firstLine="540"/>
        <w:jc w:val="both"/>
        <w:widowControl/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pPr>
      <w:r>
        <w:rPr>
          <w:b/>
          <w:sz w:val="24"/>
          <w:szCs w:val="24"/>
          <w:highlight w:val="none"/>
        </w:rPr>
        <w:tab/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Участник конкурса имеет возможность ознакомиться с конкурсной документацией на официальном сайте </w:t>
      </w:r>
      <w:r>
        <w:rPr>
          <w:rFonts w:ascii="Times New Roman" w:hAnsi="Times New Roman"/>
          <w:sz w:val="24"/>
          <w:szCs w:val="24"/>
          <w:highlight w:val="none"/>
        </w:rPr>
        <w:t xml:space="preserve">торгов </w:t>
      </w:r>
      <w:r>
        <w:rPr>
          <w:rFonts w:ascii="Times New Roman" w:hAnsi="Times New Roman"/>
          <w:sz w:val="24"/>
          <w:szCs w:val="24"/>
          <w:highlight w:val="none"/>
        </w:rPr>
        <w:fldChar w:fldCharType="begin"/>
      </w:r>
      <w:r>
        <w:rPr>
          <w:rFonts w:ascii="Times New Roman" w:hAnsi="Times New Roman"/>
          <w:sz w:val="24"/>
          <w:szCs w:val="24"/>
          <w:highlight w:val="none"/>
        </w:rPr>
        <w:instrText xml:space="preserve">HYPERLINK "http://www.torgi.gov.ru"</w:instrText>
      </w:r>
      <w:r>
        <w:rPr>
          <w:rFonts w:ascii="Times New Roman" w:hAnsi="Times New Roman"/>
          <w:sz w:val="24"/>
          <w:szCs w:val="24"/>
          <w:highlight w:val="none"/>
        </w:rPr>
        <w:fldChar w:fldCharType="separate"/>
      </w:r>
      <w:r>
        <w:rPr>
          <w:rStyle w:val="949"/>
          <w:rFonts w:ascii="Times New Roman" w:hAnsi="Times New Roman"/>
          <w:sz w:val="24"/>
          <w:szCs w:val="24"/>
          <w:highlight w:val="none"/>
          <w:lang w:val="en-US"/>
        </w:rPr>
        <w:t xml:space="preserve">www</w:t>
      </w:r>
      <w:r>
        <w:rPr>
          <w:rStyle w:val="949"/>
          <w:rFonts w:ascii="Times New Roman" w:hAnsi="Times New Roman"/>
          <w:sz w:val="24"/>
          <w:szCs w:val="24"/>
          <w:highlight w:val="none"/>
        </w:rPr>
        <w:t xml:space="preserve">.</w:t>
      </w:r>
      <w:r>
        <w:rPr>
          <w:rStyle w:val="949"/>
          <w:rFonts w:ascii="Times New Roman" w:hAnsi="Times New Roman"/>
          <w:sz w:val="24"/>
          <w:szCs w:val="24"/>
          <w:highlight w:val="none"/>
          <w:lang w:val="en-US"/>
        </w:rPr>
        <w:t xml:space="preserve">torgi</w:t>
      </w:r>
      <w:r>
        <w:rPr>
          <w:rStyle w:val="949"/>
          <w:rFonts w:ascii="Times New Roman" w:hAnsi="Times New Roman"/>
          <w:sz w:val="24"/>
          <w:szCs w:val="24"/>
          <w:highlight w:val="none"/>
        </w:rPr>
        <w:t xml:space="preserve">.</w:t>
      </w:r>
      <w:r>
        <w:rPr>
          <w:rStyle w:val="949"/>
          <w:rFonts w:ascii="Times New Roman" w:hAnsi="Times New Roman"/>
          <w:sz w:val="24"/>
          <w:szCs w:val="24"/>
          <w:highlight w:val="none"/>
          <w:lang w:val="en-US"/>
        </w:rPr>
        <w:t xml:space="preserve">gov</w:t>
      </w:r>
      <w:r>
        <w:rPr>
          <w:rStyle w:val="949"/>
          <w:rFonts w:ascii="Times New Roman" w:hAnsi="Times New Roman"/>
          <w:sz w:val="24"/>
          <w:szCs w:val="24"/>
          <w:highlight w:val="none"/>
        </w:rPr>
        <w:t xml:space="preserve">.</w:t>
      </w:r>
      <w:r>
        <w:rPr>
          <w:rStyle w:val="949"/>
          <w:rFonts w:ascii="Times New Roman" w:hAnsi="Times New Roman"/>
          <w:sz w:val="24"/>
          <w:szCs w:val="24"/>
          <w:highlight w:val="none"/>
          <w:lang w:val="en-US"/>
        </w:rPr>
        <w:t xml:space="preserve">ru</w:t>
      </w:r>
      <w:r>
        <w:rPr>
          <w:rFonts w:ascii="Times New Roman" w:hAnsi="Times New Roman"/>
          <w:sz w:val="24"/>
          <w:szCs w:val="24"/>
          <w:highlight w:val="none"/>
        </w:rPr>
        <w:fldChar w:fldCharType="end"/>
      </w:r>
      <w:r>
        <w:rPr>
          <w:rFonts w:ascii="Times New Roman" w:hAnsi="Times New Roman"/>
          <w:sz w:val="24"/>
          <w:szCs w:val="24"/>
          <w:highlight w:val="none"/>
        </w:rPr>
        <w:t xml:space="preserve"> 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и на 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официальном сайте Администрации Тайшетского муниципального округа </w:t>
      </w:r>
      <w:r>
        <w:rPr>
          <w:rFonts w:ascii="Times New Roman" w:hAnsi="Times New Roman" w:cs="Times New Roman"/>
          <w:sz w:val="24"/>
          <w:szCs w:val="24"/>
          <w:highlight w:val="none"/>
        </w:rPr>
      </w:r>
      <w:hyperlink r:id="rId11" w:tooltip="https://taishet.irkmo.ru/" w:history="1">
        <w:r>
          <w:rPr>
            <w:rStyle w:val="949"/>
            <w:rFonts w:ascii="Times New Roman" w:hAnsi="Times New Roman" w:cs="Times New Roman"/>
            <w:sz w:val="24"/>
            <w:szCs w:val="24"/>
            <w:highlight w:val="none"/>
          </w:rPr>
          <w:t xml:space="preserve">https://taishet.irk</w:t>
        </w:r>
        <w:r>
          <w:rPr>
            <w:rStyle w:val="949"/>
            <w:rFonts w:ascii="Times New Roman" w:hAnsi="Times New Roman" w:cs="Times New Roman"/>
            <w:sz w:val="24"/>
            <w:szCs w:val="24"/>
            <w:highlight w:val="none"/>
          </w:rPr>
          <w:t xml:space="preserve">mo.ru</w:t>
        </w:r>
        <w:r>
          <w:rPr>
            <w:rStyle w:val="949"/>
            <w:rFonts w:ascii="Times New Roman" w:hAnsi="Times New Roman" w:cs="Times New Roman"/>
            <w:sz w:val="24"/>
            <w:szCs w:val="24"/>
            <w:highlight w:val="none"/>
          </w:rPr>
          <w:t xml:space="preserve">/</w:t>
        </w:r>
        <w:r>
          <w:rPr>
            <w:rStyle w:val="949"/>
            <w:rFonts w:ascii="Times New Roman" w:hAnsi="Times New Roman" w:cs="Times New Roman"/>
            <w:sz w:val="24"/>
            <w:szCs w:val="24"/>
            <w:highlight w:val="none"/>
          </w:rPr>
        </w:r>
      </w:hyperlink>
      <w:r>
        <w:rPr>
          <w:rFonts w:ascii="Times New Roman" w:hAnsi="Times New Roman" w:cs="Times New Roman"/>
          <w:sz w:val="24"/>
          <w:szCs w:val="24"/>
          <w:highlight w:val="none"/>
        </w:rPr>
        <w:t xml:space="preserve"> с 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  <w:t xml:space="preserve">15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  <w:t xml:space="preserve">.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  <w:t xml:space="preserve">06.20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  <w:t xml:space="preserve">2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  <w:t xml:space="preserve">6г.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r>
    </w:p>
    <w:p>
      <w:pPr>
        <w:pStyle w:val="946"/>
        <w:ind w:firstLine="540"/>
        <w:jc w:val="both"/>
        <w:widowControl/>
        <w:rPr>
          <w:rFonts w:ascii="Times New Roman" w:hAnsi="Times New Roman" w:cs="Times New Roman"/>
          <w:b/>
          <w:sz w:val="24"/>
          <w:szCs w:val="24"/>
          <w:highlight w:val="none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  <w:t xml:space="preserve">Конкурсная документация доступна для ознакомления всеми заинтересованными лицами без взимания платы.</w:t>
      </w:r>
      <w:r>
        <w:rPr>
          <w:rFonts w:ascii="Times New Roman" w:hAnsi="Times New Roman" w:cs="Times New Roman"/>
          <w:b/>
          <w:sz w:val="24"/>
          <w:szCs w:val="24"/>
          <w:highlight w:val="none"/>
        </w:rPr>
      </w:r>
      <w:r>
        <w:rPr>
          <w:rFonts w:ascii="Times New Roman" w:hAnsi="Times New Roman" w:cs="Times New Roman"/>
          <w:b/>
          <w:sz w:val="24"/>
          <w:szCs w:val="24"/>
          <w:highlight w:val="none"/>
        </w:rPr>
      </w:r>
    </w:p>
    <w:p>
      <w:pPr>
        <w:pStyle w:val="946"/>
        <w:ind w:firstLine="540"/>
        <w:jc w:val="both"/>
        <w:widowControl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/>
          <w:sz w:val="24"/>
          <w:szCs w:val="24"/>
          <w:highlight w:val="none"/>
        </w:rPr>
        <w:t xml:space="preserve">Организатор конкурса на основании заявления любого заинтересованного лица, поданного в письменной форме, в течение 2 рабочих дней с даты получения заявления предоставляет такому лицу конкурсную документацию.</w:t>
      </w: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</w:p>
    <w:p>
      <w:pPr>
        <w:pStyle w:val="937"/>
        <w:ind w:firstLine="0"/>
        <w:jc w:val="both"/>
        <w:rPr>
          <w:b/>
          <w:bCs/>
          <w:sz w:val="24"/>
          <w:szCs w:val="24"/>
          <w:highlight w:val="none"/>
        </w:rPr>
      </w:pPr>
      <w:r>
        <w:rPr>
          <w:b/>
          <w:sz w:val="24"/>
          <w:szCs w:val="24"/>
          <w:highlight w:val="none"/>
        </w:rPr>
        <w:t xml:space="preserve">8</w:t>
      </w:r>
      <w:r>
        <w:rPr>
          <w:b/>
          <w:sz w:val="24"/>
          <w:szCs w:val="24"/>
          <w:highlight w:val="none"/>
        </w:rPr>
        <w:t xml:space="preserve">. Место, порядок и срок подачи заявок на участие в конкурсе:</w:t>
      </w:r>
      <w:r>
        <w:rPr>
          <w:b/>
          <w:bCs/>
          <w:sz w:val="24"/>
          <w:szCs w:val="24"/>
          <w:highlight w:val="none"/>
        </w:rPr>
      </w:r>
      <w:r>
        <w:rPr>
          <w:b/>
          <w:bCs/>
          <w:sz w:val="24"/>
          <w:szCs w:val="24"/>
          <w:highlight w:val="none"/>
        </w:rPr>
      </w:r>
    </w:p>
    <w:p>
      <w:pPr>
        <w:ind w:firstLine="540"/>
        <w:jc w:val="both"/>
        <w:rPr>
          <w:b w:val="0"/>
          <w:bCs w:val="0"/>
          <w:sz w:val="24"/>
          <w:szCs w:val="24"/>
          <w:highlight w:val="none"/>
        </w:rPr>
      </w:pPr>
      <w:r>
        <w:rPr>
          <w:b w:val="0"/>
          <w:bCs w:val="0"/>
          <w:sz w:val="24"/>
          <w:szCs w:val="24"/>
          <w:highlight w:val="none"/>
        </w:rPr>
        <w:t xml:space="preserve">Дата начала подачи заявок: с 15 июня 2026 года.</w:t>
      </w:r>
      <w:r>
        <w:rPr>
          <w:b w:val="0"/>
          <w:bCs w:val="0"/>
          <w:sz w:val="24"/>
          <w:szCs w:val="24"/>
          <w:highlight w:val="none"/>
        </w:rPr>
      </w:r>
      <w:r>
        <w:rPr>
          <w:b w:val="0"/>
          <w:bCs w:val="0"/>
          <w:sz w:val="24"/>
          <w:szCs w:val="24"/>
          <w:highlight w:val="none"/>
        </w:rPr>
      </w:r>
    </w:p>
    <w:p>
      <w:pPr>
        <w:ind w:firstLine="540"/>
        <w:jc w:val="both"/>
        <w:rPr>
          <w:b w:val="0"/>
          <w:bCs w:val="0"/>
          <w:sz w:val="24"/>
          <w:szCs w:val="24"/>
          <w:highlight w:val="none"/>
        </w:rPr>
      </w:pPr>
      <w:r>
        <w:rPr>
          <w:b w:val="0"/>
          <w:bCs w:val="0"/>
          <w:sz w:val="24"/>
          <w:szCs w:val="24"/>
          <w:highlight w:val="none"/>
        </w:rPr>
        <w:t xml:space="preserve">Дата окончания приема заявок 14 июля 2026 года.</w:t>
      </w:r>
      <w:r>
        <w:rPr>
          <w:b w:val="0"/>
          <w:bCs w:val="0"/>
          <w:sz w:val="24"/>
          <w:szCs w:val="24"/>
          <w:highlight w:val="none"/>
        </w:rPr>
      </w:r>
      <w:r>
        <w:rPr>
          <w:b w:val="0"/>
          <w:bCs w:val="0"/>
          <w:sz w:val="24"/>
          <w:szCs w:val="24"/>
          <w:highlight w:val="none"/>
        </w:rPr>
      </w:r>
    </w:p>
    <w:p>
      <w:pPr>
        <w:ind w:firstLine="540"/>
        <w:jc w:val="both"/>
        <w:rPr>
          <w:b w:val="0"/>
          <w:bCs w:val="0"/>
          <w:sz w:val="24"/>
          <w:szCs w:val="24"/>
          <w:highlight w:val="none"/>
        </w:rPr>
      </w:pPr>
      <w:r>
        <w:rPr>
          <w:b w:val="0"/>
          <w:bCs w:val="0"/>
          <w:sz w:val="24"/>
          <w:szCs w:val="24"/>
          <w:highlight w:val="none"/>
        </w:rPr>
        <w:t xml:space="preserve">Место и порядок подачи заявок: прием заявок по адресу организатора конкурса в рабочие дни понедельник – четверг с 08-00 до 17-15, пятница с 08-00 до 16-00, перерыв на обед с 12-00 до 13-00. </w:t>
      </w:r>
      <w:r>
        <w:rPr>
          <w:b w:val="0"/>
          <w:bCs w:val="0"/>
          <w:sz w:val="24"/>
          <w:szCs w:val="24"/>
          <w:highlight w:val="none"/>
        </w:rPr>
      </w:r>
      <w:r>
        <w:rPr>
          <w:b w:val="0"/>
          <w:bCs w:val="0"/>
          <w:sz w:val="24"/>
          <w:szCs w:val="24"/>
          <w:highlight w:val="none"/>
        </w:rPr>
      </w:r>
    </w:p>
    <w:p>
      <w:pPr>
        <w:ind w:firstLine="540"/>
        <w:jc w:val="both"/>
        <w:rPr>
          <w:b w:val="0"/>
          <w:bCs w:val="0"/>
          <w:sz w:val="24"/>
          <w:szCs w:val="24"/>
          <w:highlight w:val="none"/>
        </w:rPr>
      </w:pPr>
      <w:r>
        <w:rPr>
          <w:b w:val="0"/>
          <w:bCs w:val="0"/>
          <w:sz w:val="24"/>
          <w:szCs w:val="24"/>
          <w:highlight w:val="none"/>
        </w:rPr>
        <w:t xml:space="preserve">Окончание приема заявок непосредственно перед началом процедуры вскрытия конвертов.</w:t>
      </w:r>
      <w:r>
        <w:rPr>
          <w:b w:val="0"/>
          <w:bCs w:val="0"/>
          <w:sz w:val="24"/>
          <w:szCs w:val="24"/>
          <w:highlight w:val="none"/>
        </w:rPr>
      </w:r>
      <w:r>
        <w:rPr>
          <w:b w:val="0"/>
          <w:bCs w:val="0"/>
          <w:sz w:val="24"/>
          <w:szCs w:val="24"/>
          <w:highlight w:val="none"/>
        </w:rPr>
      </w:r>
    </w:p>
    <w:p>
      <w:pPr>
        <w:ind w:firstLine="540"/>
        <w:jc w:val="both"/>
        <w:rPr>
          <w:b w:val="0"/>
          <w:bCs w:val="0"/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  <w:t xml:space="preserve">Для участия в конкурсе заинтересованное лицо подает заявку по установленной форме с приложениями. Форма заявки на участие в конкурсе с приложениями приведена в конкурсной документации.</w:t>
      </w:r>
      <w:r>
        <w:rPr>
          <w:b w:val="0"/>
          <w:bCs w:val="0"/>
          <w:sz w:val="24"/>
          <w:szCs w:val="24"/>
          <w:highlight w:val="none"/>
        </w:rPr>
        <w:t xml:space="preserve"> Заявки принимаются на бумажном носителе,</w:t>
      </w:r>
      <w:r>
        <w:rPr>
          <w:b w:val="0"/>
          <w:bCs w:val="0"/>
          <w:sz w:val="24"/>
          <w:szCs w:val="24"/>
          <w:highlight w:val="none"/>
        </w:rPr>
      </w:r>
      <w:r>
        <w:rPr>
          <w:b w:val="0"/>
          <w:bCs w:val="0"/>
          <w:sz w:val="24"/>
          <w:szCs w:val="24"/>
          <w:highlight w:val="none"/>
        </w:rPr>
      </w:r>
    </w:p>
    <w:p>
      <w:pPr>
        <w:pStyle w:val="937"/>
        <w:ind w:right="-6" w:firstLine="0"/>
        <w:jc w:val="both"/>
        <w:rPr>
          <w:b/>
          <w:sz w:val="24"/>
          <w:szCs w:val="24"/>
          <w:highlight w:val="none"/>
        </w:rPr>
      </w:pPr>
      <w:r>
        <w:rPr>
          <w:b/>
          <w:sz w:val="24"/>
          <w:szCs w:val="24"/>
          <w:highlight w:val="none"/>
        </w:rPr>
        <w:t xml:space="preserve">9</w:t>
      </w:r>
      <w:r>
        <w:rPr>
          <w:b/>
          <w:sz w:val="24"/>
          <w:szCs w:val="24"/>
          <w:highlight w:val="none"/>
        </w:rPr>
        <w:t xml:space="preserve">. Место, дата и время вскрытия конвертов с заявками на участие в конкурсе: </w:t>
      </w:r>
      <w:r>
        <w:rPr>
          <w:b/>
          <w:sz w:val="24"/>
          <w:szCs w:val="24"/>
          <w:highlight w:val="none"/>
        </w:rPr>
      </w:r>
      <w:r>
        <w:rPr>
          <w:b/>
          <w:sz w:val="24"/>
          <w:szCs w:val="24"/>
          <w:highlight w:val="none"/>
        </w:rPr>
      </w:r>
    </w:p>
    <w:p>
      <w:pPr>
        <w:pStyle w:val="937"/>
        <w:ind w:firstLine="708"/>
        <w:jc w:val="both"/>
        <w:rPr>
          <w:b w:val="0"/>
          <w:bCs w:val="0"/>
          <w:sz w:val="24"/>
          <w:szCs w:val="24"/>
          <w:highlight w:val="none"/>
        </w:rPr>
      </w:pPr>
      <w:r>
        <w:rPr>
          <w:b w:val="0"/>
          <w:bCs w:val="0"/>
          <w:sz w:val="24"/>
          <w:szCs w:val="24"/>
          <w:highlight w:val="none"/>
        </w:rPr>
      </w:r>
      <w:r>
        <w:rPr>
          <w:b w:val="0"/>
          <w:bCs w:val="0"/>
          <w:sz w:val="24"/>
          <w:szCs w:val="24"/>
          <w:highlight w:val="none"/>
        </w:rPr>
        <w:t xml:space="preserve">Место, дата и время вскрытия конвертов с заявками на участие в конкурс</w:t>
      </w:r>
      <w:r>
        <w:rPr>
          <w:b w:val="0"/>
          <w:bCs w:val="0"/>
          <w:sz w:val="24"/>
          <w:szCs w:val="24"/>
          <w:highlight w:val="none"/>
        </w:rPr>
        <w:t xml:space="preserve">е: Иркутская область, г. Тайшет, ул.Свободы, </w:t>
      </w:r>
      <w:r>
        <w:rPr>
          <w:b w:val="0"/>
          <w:bCs w:val="0"/>
          <w:sz w:val="24"/>
          <w:szCs w:val="24"/>
          <w:highlight w:val="none"/>
        </w:rPr>
        <w:t xml:space="preserve">д.</w:t>
      </w:r>
      <w:r>
        <w:rPr>
          <w:b w:val="0"/>
          <w:bCs w:val="0"/>
          <w:sz w:val="24"/>
          <w:szCs w:val="24"/>
          <w:highlight w:val="none"/>
        </w:rPr>
        <w:t xml:space="preserve">4</w:t>
      </w:r>
      <w:r>
        <w:rPr>
          <w:b w:val="0"/>
          <w:bCs w:val="0"/>
          <w:sz w:val="24"/>
          <w:szCs w:val="24"/>
          <w:highlight w:val="none"/>
        </w:rPr>
        <w:t xml:space="preserve">, помещ.</w:t>
      </w:r>
      <w:r>
        <w:rPr>
          <w:b w:val="0"/>
          <w:bCs w:val="0"/>
          <w:sz w:val="24"/>
          <w:szCs w:val="24"/>
          <w:highlight w:val="none"/>
        </w:rPr>
        <w:t xml:space="preserve">4</w:t>
      </w:r>
      <w:r>
        <w:rPr>
          <w:b w:val="0"/>
          <w:bCs w:val="0"/>
          <w:sz w:val="24"/>
          <w:szCs w:val="24"/>
          <w:highlight w:val="none"/>
        </w:rPr>
        <w:t xml:space="preserve">Н</w:t>
      </w:r>
      <w:r>
        <w:rPr>
          <w:b w:val="0"/>
          <w:bCs w:val="0"/>
          <w:sz w:val="24"/>
          <w:szCs w:val="24"/>
          <w:highlight w:val="none"/>
        </w:rPr>
        <w:t xml:space="preserve">, кабинет 28,  14 июля 2026 года в 10-00</w:t>
      </w:r>
      <w:r>
        <w:rPr>
          <w:b w:val="0"/>
          <w:bCs w:val="0"/>
          <w:sz w:val="24"/>
          <w:szCs w:val="24"/>
          <w:highlight w:val="none"/>
        </w:rPr>
        <w:t xml:space="preserve">.</w:t>
      </w:r>
      <w:r>
        <w:rPr>
          <w:b w:val="0"/>
          <w:bCs w:val="0"/>
          <w:sz w:val="24"/>
          <w:szCs w:val="24"/>
          <w:highlight w:val="none"/>
        </w:rPr>
      </w:r>
      <w:r>
        <w:rPr>
          <w:b w:val="0"/>
          <w:bCs w:val="0"/>
          <w:sz w:val="24"/>
          <w:szCs w:val="24"/>
          <w:highlight w:val="none"/>
        </w:rPr>
      </w:r>
    </w:p>
    <w:p>
      <w:pPr>
        <w:pStyle w:val="937"/>
        <w:ind w:right="-6" w:firstLine="0"/>
        <w:jc w:val="both"/>
        <w:rPr>
          <w:b/>
          <w:sz w:val="24"/>
          <w:szCs w:val="24"/>
          <w:highlight w:val="none"/>
        </w:rPr>
      </w:pPr>
      <w:r>
        <w:rPr>
          <w:b/>
          <w:sz w:val="24"/>
          <w:szCs w:val="24"/>
          <w:highlight w:val="none"/>
        </w:rPr>
        <w:t xml:space="preserve">10. Место, дата и время рассмотрения конкурсной комиссией заявок на участие в конкурсе:</w:t>
      </w:r>
      <w:r>
        <w:rPr>
          <w:b/>
          <w:sz w:val="24"/>
          <w:szCs w:val="24"/>
          <w:highlight w:val="none"/>
        </w:rPr>
      </w:r>
      <w:r>
        <w:rPr>
          <w:b/>
          <w:sz w:val="24"/>
          <w:szCs w:val="24"/>
          <w:highlight w:val="none"/>
        </w:rPr>
      </w:r>
    </w:p>
    <w:p>
      <w:pPr>
        <w:pStyle w:val="937"/>
        <w:ind w:firstLine="708"/>
        <w:jc w:val="both"/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b w:val="0"/>
          <w:bCs w:val="0"/>
          <w:sz w:val="24"/>
          <w:szCs w:val="24"/>
          <w:highlight w:val="none"/>
        </w:rPr>
        <w:t xml:space="preserve">Место, дата и время рассмотрения конкурсной комиссией заявок на участие в конкурсе:</w:t>
      </w:r>
      <w:r>
        <w:rPr>
          <w:b w:val="0"/>
          <w:bCs w:val="0"/>
          <w:sz w:val="24"/>
          <w:szCs w:val="24"/>
          <w:highlight w:val="none"/>
        </w:rPr>
        <w:t xml:space="preserve"> </w:t>
      </w:r>
      <w:r>
        <w:rPr>
          <w:b w:val="0"/>
          <w:bCs w:val="0"/>
          <w:sz w:val="24"/>
          <w:szCs w:val="24"/>
          <w:highlight w:val="none"/>
        </w:rPr>
        <w:t xml:space="preserve">Иркутская область, г. Тайшет, ул.Свободы, </w:t>
      </w:r>
      <w:r>
        <w:rPr>
          <w:b w:val="0"/>
          <w:bCs w:val="0"/>
          <w:sz w:val="24"/>
          <w:szCs w:val="24"/>
          <w:highlight w:val="none"/>
        </w:rPr>
        <w:t xml:space="preserve">д.</w:t>
      </w:r>
      <w:r>
        <w:rPr>
          <w:b w:val="0"/>
          <w:bCs w:val="0"/>
          <w:sz w:val="24"/>
          <w:szCs w:val="24"/>
          <w:highlight w:val="none"/>
        </w:rPr>
        <w:t xml:space="preserve">4</w:t>
      </w:r>
      <w:r>
        <w:rPr>
          <w:b w:val="0"/>
          <w:bCs w:val="0"/>
          <w:sz w:val="24"/>
          <w:szCs w:val="24"/>
          <w:highlight w:val="none"/>
        </w:rPr>
        <w:t xml:space="preserve">, помещ.</w:t>
      </w:r>
      <w:r>
        <w:rPr>
          <w:b w:val="0"/>
          <w:bCs w:val="0"/>
          <w:sz w:val="24"/>
          <w:szCs w:val="24"/>
          <w:highlight w:val="none"/>
        </w:rPr>
        <w:t xml:space="preserve">4</w:t>
      </w:r>
      <w:r>
        <w:rPr>
          <w:b w:val="0"/>
          <w:bCs w:val="0"/>
          <w:sz w:val="24"/>
          <w:szCs w:val="24"/>
          <w:highlight w:val="none"/>
        </w:rPr>
        <w:t xml:space="preserve">Н</w:t>
      </w:r>
      <w:r>
        <w:rPr>
          <w:b w:val="0"/>
          <w:bCs w:val="0"/>
          <w:sz w:val="24"/>
          <w:szCs w:val="24"/>
          <w:highlight w:val="none"/>
        </w:rPr>
        <w:t xml:space="preserve">, кабинет 28,  20 июля 2026 года в 10-00</w:t>
      </w:r>
      <w:r>
        <w:rPr>
          <w:b w:val="0"/>
          <w:bCs w:val="0"/>
          <w:sz w:val="24"/>
          <w:szCs w:val="24"/>
          <w:highlight w:val="none"/>
        </w:rPr>
        <w:t xml:space="preserve">.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937"/>
        <w:ind w:right="-6" w:firstLine="0"/>
        <w:jc w:val="both"/>
        <w:rPr>
          <w:b/>
          <w:sz w:val="24"/>
          <w:szCs w:val="24"/>
          <w:highlight w:val="none"/>
        </w:rPr>
      </w:pPr>
      <w:r>
        <w:rPr>
          <w:b/>
          <w:sz w:val="24"/>
          <w:szCs w:val="24"/>
          <w:highlight w:val="none"/>
        </w:rPr>
        <w:t xml:space="preserve">1</w:t>
      </w:r>
      <w:r>
        <w:rPr>
          <w:b/>
          <w:sz w:val="24"/>
          <w:szCs w:val="24"/>
          <w:highlight w:val="none"/>
        </w:rPr>
        <w:t xml:space="preserve">1. Место, дата и время проведения конкурса: </w:t>
      </w:r>
      <w:r>
        <w:rPr>
          <w:b/>
          <w:sz w:val="24"/>
          <w:szCs w:val="24"/>
          <w:highlight w:val="none"/>
        </w:rPr>
      </w:r>
      <w:r>
        <w:rPr>
          <w:b/>
          <w:sz w:val="24"/>
          <w:szCs w:val="24"/>
          <w:highlight w:val="none"/>
        </w:rPr>
      </w:r>
    </w:p>
    <w:p>
      <w:pPr>
        <w:pStyle w:val="937"/>
        <w:ind w:firstLine="708"/>
        <w:jc w:val="both"/>
        <w:rPr>
          <w:b w:val="0"/>
          <w:bCs w:val="0"/>
          <w:sz w:val="24"/>
          <w:szCs w:val="24"/>
          <w:highlight w:val="none"/>
        </w:rPr>
      </w:pPr>
      <w:r>
        <w:rPr>
          <w:b w:val="0"/>
          <w:bCs w:val="0"/>
          <w:sz w:val="24"/>
          <w:szCs w:val="24"/>
          <w:highlight w:val="none"/>
        </w:rPr>
      </w:r>
      <w:r>
        <w:rPr>
          <w:b w:val="0"/>
          <w:bCs w:val="0"/>
          <w:sz w:val="24"/>
          <w:szCs w:val="24"/>
          <w:highlight w:val="none"/>
        </w:rPr>
        <w:t xml:space="preserve">Место, дата и время проведения конкурса:</w:t>
      </w:r>
      <w:r>
        <w:rPr>
          <w:b w:val="0"/>
          <w:bCs w:val="0"/>
          <w:sz w:val="24"/>
          <w:szCs w:val="24"/>
          <w:highlight w:val="none"/>
        </w:rPr>
        <w:t xml:space="preserve"> </w:t>
      </w:r>
      <w:r>
        <w:rPr>
          <w:b w:val="0"/>
          <w:bCs w:val="0"/>
          <w:sz w:val="24"/>
          <w:szCs w:val="24"/>
          <w:highlight w:val="none"/>
        </w:rPr>
        <w:t xml:space="preserve">Иркутская область, г. Тайшет, ул.Свободы, </w:t>
      </w:r>
      <w:r>
        <w:rPr>
          <w:b w:val="0"/>
          <w:bCs w:val="0"/>
          <w:sz w:val="24"/>
          <w:szCs w:val="24"/>
          <w:highlight w:val="none"/>
        </w:rPr>
        <w:t xml:space="preserve">д.</w:t>
      </w:r>
      <w:r>
        <w:rPr>
          <w:b w:val="0"/>
          <w:bCs w:val="0"/>
          <w:sz w:val="24"/>
          <w:szCs w:val="24"/>
          <w:highlight w:val="none"/>
        </w:rPr>
        <w:t xml:space="preserve">4</w:t>
      </w:r>
      <w:r>
        <w:rPr>
          <w:b w:val="0"/>
          <w:bCs w:val="0"/>
          <w:sz w:val="24"/>
          <w:szCs w:val="24"/>
          <w:highlight w:val="none"/>
        </w:rPr>
        <w:t xml:space="preserve">, помещ.</w:t>
      </w:r>
      <w:r>
        <w:rPr>
          <w:b w:val="0"/>
          <w:bCs w:val="0"/>
          <w:sz w:val="24"/>
          <w:szCs w:val="24"/>
          <w:highlight w:val="none"/>
        </w:rPr>
        <w:t xml:space="preserve">4</w:t>
      </w:r>
      <w:r>
        <w:rPr>
          <w:b w:val="0"/>
          <w:bCs w:val="0"/>
          <w:sz w:val="24"/>
          <w:szCs w:val="24"/>
          <w:highlight w:val="none"/>
        </w:rPr>
        <w:t xml:space="preserve">Н</w:t>
      </w:r>
      <w:r>
        <w:rPr>
          <w:b w:val="0"/>
          <w:bCs w:val="0"/>
          <w:sz w:val="24"/>
          <w:szCs w:val="24"/>
          <w:highlight w:val="none"/>
        </w:rPr>
        <w:t xml:space="preserve">, кабинет 28,  22 июля 2026 года в 10-00</w:t>
      </w:r>
      <w:r>
        <w:rPr>
          <w:b w:val="0"/>
          <w:bCs w:val="0"/>
          <w:sz w:val="24"/>
          <w:szCs w:val="24"/>
          <w:highlight w:val="none"/>
        </w:rPr>
        <w:t xml:space="preserve">.</w:t>
      </w:r>
      <w:r>
        <w:rPr>
          <w:b w:val="0"/>
          <w:bCs w:val="0"/>
          <w:sz w:val="24"/>
          <w:szCs w:val="24"/>
          <w:highlight w:val="none"/>
        </w:rPr>
      </w:r>
      <w:r>
        <w:rPr>
          <w:b w:val="0"/>
          <w:bCs w:val="0"/>
          <w:sz w:val="24"/>
          <w:szCs w:val="24"/>
          <w:highlight w:val="none"/>
        </w:rPr>
      </w:r>
    </w:p>
    <w:p>
      <w:pPr>
        <w:pStyle w:val="937"/>
        <w:ind w:right="-6" w:firstLine="0"/>
        <w:jc w:val="both"/>
        <w:rPr>
          <w:b/>
          <w:sz w:val="24"/>
          <w:szCs w:val="24"/>
          <w:highlight w:val="none"/>
        </w:rPr>
      </w:pPr>
      <w:r>
        <w:rPr>
          <w:b/>
          <w:sz w:val="24"/>
          <w:szCs w:val="24"/>
          <w:highlight w:val="none"/>
        </w:rPr>
        <w:t xml:space="preserve">1</w:t>
      </w:r>
      <w:r>
        <w:rPr>
          <w:b/>
          <w:sz w:val="24"/>
          <w:szCs w:val="24"/>
          <w:highlight w:val="none"/>
        </w:rPr>
        <w:t xml:space="preserve">2. Размер обеспечения заявки на участие в конкурсе:</w:t>
      </w:r>
      <w:r>
        <w:rPr>
          <w:b/>
          <w:sz w:val="24"/>
          <w:szCs w:val="24"/>
          <w:highlight w:val="none"/>
        </w:rPr>
      </w:r>
      <w:r>
        <w:rPr>
          <w:b/>
          <w:sz w:val="24"/>
          <w:szCs w:val="24"/>
          <w:highlight w:val="none"/>
        </w:rPr>
      </w:r>
    </w:p>
    <w:p>
      <w:pPr>
        <w:ind w:left="0" w:right="0" w:firstLine="839"/>
        <w:jc w:val="both"/>
        <w:spacing w:line="272" w:lineRule="atLeast"/>
        <w:shd w:val="clear" w:color="ffffff" w:fill="ffffff"/>
        <w:rPr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b w:val="0"/>
          <w:bCs w:val="0"/>
          <w:sz w:val="24"/>
          <w:szCs w:val="24"/>
          <w:highlight w:val="none"/>
        </w:rPr>
      </w:r>
      <w:r>
        <w:rPr>
          <w:b w:val="0"/>
          <w:bCs w:val="0"/>
          <w:sz w:val="24"/>
          <w:szCs w:val="24"/>
          <w:highlight w:val="none"/>
        </w:rPr>
        <w:t xml:space="preserve">Размер обеспечения заявки на участие в конкурсе составляет </w:t>
      </w:r>
      <w:r>
        <w:rPr>
          <w:rFonts w:ascii="Times New Roman" w:hAnsi="Times New Roman" w:eastAsia="Times New Roman" w:cs="Times New Roman"/>
          <w:color w:val="000000"/>
          <w:sz w:val="24"/>
          <w:highlight w:val="none"/>
        </w:rPr>
        <w:t xml:space="preserve">12702,28 рублей (двенадцать тысяч семьсот два рубля 28 копеек)</w:t>
      </w:r>
      <w:r>
        <w:rPr>
          <w:highlight w:val="none"/>
        </w:rPr>
      </w:r>
      <w:r>
        <w:rPr>
          <w:highlight w:val="none"/>
        </w:rPr>
      </w:r>
    </w:p>
    <w:p>
      <w:pPr>
        <w:ind w:left="0" w:right="0" w:firstLine="0"/>
        <w:jc w:val="both"/>
        <w:spacing w:line="272" w:lineRule="atLeast"/>
        <w:shd w:val="clear" w:color="ffffff" w:fill="ffffff"/>
        <w:rPr>
          <w:rFonts w:ascii="Times New Roman" w:hAnsi="Times New Roman" w:eastAsia="Times New Roman" w:cs="Times New Roman"/>
          <w:sz w:val="24"/>
          <w:szCs w:val="24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  <w:highlight w:val="none"/>
        </w:rPr>
      </w:r>
      <w:r>
        <w:rPr>
          <w:rFonts w:ascii="Times New Roman" w:hAnsi="Times New Roman" w:eastAsia="Times New Roman" w:cs="Times New Roman"/>
          <w:b/>
          <w:color w:val="000000"/>
          <w:sz w:val="24"/>
          <w:szCs w:val="24"/>
          <w:highlight w:val="none"/>
        </w:rPr>
        <w:t xml:space="preserve">13 Реквизиты банковского счета для перечисления средств в качестве обеспечения заявки на участие в конкурсе: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</w:p>
    <w:p>
      <w:pPr>
        <w:ind w:left="0" w:right="0" w:firstLine="317"/>
        <w:jc w:val="both"/>
        <w:spacing w:line="272" w:lineRule="atLeast"/>
        <w:shd w:val="clear" w:color="ffffff" w:fill="ffffff"/>
        <w:rPr>
          <w:szCs w:val="24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  <w:t xml:space="preserve">Наименование получателя:  </w:t>
      </w:r>
      <w:r>
        <w:rPr>
          <w:szCs w:val="24"/>
          <w:highlight w:val="none"/>
        </w:rPr>
      </w:r>
      <w:r>
        <w:rPr>
          <w:szCs w:val="24"/>
          <w:highlight w:val="none"/>
        </w:rPr>
      </w:r>
    </w:p>
    <w:p>
      <w:pPr>
        <w:ind w:left="34" w:right="0" w:firstLine="317"/>
        <w:jc w:val="both"/>
        <w:spacing w:line="272" w:lineRule="atLeast"/>
        <w:shd w:val="clear" w:color="ffffff" w:fill="ffffff"/>
        <w:rPr>
          <w:szCs w:val="24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  <w:t xml:space="preserve">Муниципальное казённое учреждение «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  <w:t xml:space="preserve">Управление  жилищно-коммунального хозяйства администрации Тайшетского муниципального округа», </w:t>
      </w:r>
      <w:r>
        <w:rPr>
          <w:szCs w:val="24"/>
          <w:highlight w:val="none"/>
        </w:rPr>
      </w:r>
      <w:r>
        <w:rPr>
          <w:szCs w:val="24"/>
          <w:highlight w:val="none"/>
        </w:rPr>
      </w:r>
    </w:p>
    <w:p>
      <w:pPr>
        <w:ind w:left="34" w:right="0" w:firstLine="317"/>
        <w:jc w:val="both"/>
        <w:spacing w:line="272" w:lineRule="atLeast"/>
        <w:shd w:val="clear" w:color="ffffff" w:fill="ffffff"/>
        <w:rPr>
          <w:szCs w:val="24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  <w:t xml:space="preserve">ИНН 3816038607</w:t>
      </w:r>
      <w:r>
        <w:rPr>
          <w:szCs w:val="24"/>
          <w:highlight w:val="none"/>
        </w:rPr>
      </w:r>
      <w:r>
        <w:rPr>
          <w:szCs w:val="24"/>
          <w:highlight w:val="none"/>
        </w:rPr>
      </w:r>
    </w:p>
    <w:p>
      <w:pPr>
        <w:ind w:left="34" w:right="0" w:firstLine="317"/>
        <w:jc w:val="both"/>
        <w:spacing w:line="272" w:lineRule="atLeast"/>
        <w:shd w:val="clear" w:color="ffffff" w:fill="ffffff"/>
        <w:rPr>
          <w:szCs w:val="24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  <w:t xml:space="preserve">КПП 381601001 </w:t>
      </w:r>
      <w:r>
        <w:rPr>
          <w:szCs w:val="24"/>
          <w:highlight w:val="none"/>
        </w:rPr>
      </w:r>
      <w:r>
        <w:rPr>
          <w:szCs w:val="24"/>
          <w:highlight w:val="none"/>
        </w:rPr>
      </w:r>
    </w:p>
    <w:p>
      <w:pPr>
        <w:ind w:left="34" w:right="0" w:firstLine="317"/>
        <w:jc w:val="both"/>
        <w:spacing w:line="272" w:lineRule="atLeast"/>
        <w:shd w:val="clear" w:color="ffffff" w:fill="ffffff"/>
        <w:rPr>
          <w:szCs w:val="24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  <w:t xml:space="preserve">ОКТМО 25636101001 </w:t>
      </w:r>
      <w:r>
        <w:rPr>
          <w:szCs w:val="24"/>
          <w:highlight w:val="none"/>
        </w:rPr>
      </w:r>
      <w:r>
        <w:rPr>
          <w:szCs w:val="24"/>
          <w:highlight w:val="none"/>
        </w:rPr>
      </w:r>
    </w:p>
    <w:p>
      <w:pPr>
        <w:ind w:left="34" w:right="0" w:firstLine="317"/>
        <w:jc w:val="both"/>
        <w:spacing w:line="272" w:lineRule="atLeast"/>
        <w:shd w:val="clear" w:color="ffffff" w:fill="ffffff"/>
        <w:rPr>
          <w:szCs w:val="24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  <w:t xml:space="preserve">К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  <w:t xml:space="preserve">азначейский счет (корр.счет) 40102810145370000026 </w:t>
      </w:r>
      <w:r>
        <w:rPr>
          <w:szCs w:val="24"/>
          <w:highlight w:val="none"/>
        </w:rPr>
      </w:r>
      <w:r>
        <w:rPr>
          <w:szCs w:val="24"/>
          <w:highlight w:val="none"/>
        </w:rPr>
      </w:r>
    </w:p>
    <w:p>
      <w:pPr>
        <w:ind w:left="34" w:right="0" w:firstLine="317"/>
        <w:jc w:val="both"/>
        <w:spacing w:line="272" w:lineRule="atLeast"/>
        <w:shd w:val="clear" w:color="ffffff" w:fill="ffffff"/>
        <w:rPr>
          <w:szCs w:val="24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  <w:t xml:space="preserve">Единый казначейский счет (расчетн. счет) 03232643255360003400</w:t>
      </w:r>
      <w:r>
        <w:rPr>
          <w:szCs w:val="24"/>
          <w:highlight w:val="none"/>
        </w:rPr>
      </w:r>
      <w:r>
        <w:rPr>
          <w:szCs w:val="24"/>
          <w:highlight w:val="none"/>
        </w:rPr>
      </w:r>
    </w:p>
    <w:p>
      <w:pPr>
        <w:ind w:left="34" w:right="0" w:firstLine="317"/>
        <w:jc w:val="both"/>
        <w:spacing w:line="272" w:lineRule="atLeast"/>
        <w:shd w:val="clear" w:color="ffffff" w:fill="ffffff"/>
        <w:rPr>
          <w:szCs w:val="24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  <w:t xml:space="preserve">ОКЦ №4 СибГУ Банк России//УФК по Иркутской области г. Иркутск</w:t>
      </w:r>
      <w:r>
        <w:rPr>
          <w:szCs w:val="24"/>
          <w:highlight w:val="none"/>
        </w:rPr>
      </w:r>
      <w:r>
        <w:rPr>
          <w:szCs w:val="24"/>
          <w:highlight w:val="none"/>
        </w:rPr>
      </w:r>
    </w:p>
    <w:p>
      <w:pPr>
        <w:ind w:left="34" w:right="0" w:firstLine="317"/>
        <w:jc w:val="both"/>
        <w:spacing w:line="272" w:lineRule="atLeast"/>
        <w:shd w:val="clear" w:color="ffffff" w:fill="ffffff"/>
        <w:rPr>
          <w:szCs w:val="24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  <w:t xml:space="preserve">БИК 012520101 </w:t>
      </w:r>
      <w:r>
        <w:rPr>
          <w:szCs w:val="24"/>
          <w:highlight w:val="none"/>
        </w:rPr>
      </w:r>
      <w:r>
        <w:rPr>
          <w:szCs w:val="24"/>
          <w:highlight w:val="none"/>
        </w:rPr>
      </w:r>
    </w:p>
    <w:p>
      <w:pPr>
        <w:ind w:left="34" w:right="0" w:firstLine="317"/>
        <w:jc w:val="both"/>
        <w:spacing w:line="272" w:lineRule="atLeast"/>
        <w:shd w:val="clear" w:color="ffffff" w:fill="ffffff"/>
        <w:rPr>
          <w:szCs w:val="24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  <w:t xml:space="preserve">л/с 92501060201</w:t>
      </w:r>
      <w:r>
        <w:rPr>
          <w:szCs w:val="24"/>
          <w:highlight w:val="none"/>
        </w:rPr>
      </w:r>
      <w:r>
        <w:rPr>
          <w:szCs w:val="24"/>
          <w:highlight w:val="none"/>
        </w:rPr>
      </w:r>
    </w:p>
    <w:p>
      <w:pPr>
        <w:ind w:left="34" w:right="0" w:firstLine="317"/>
        <w:jc w:val="both"/>
        <w:spacing w:line="272" w:lineRule="atLeast"/>
        <w:shd w:val="clear" w:color="ffffff" w:fill="ffffff"/>
        <w:rPr>
          <w:szCs w:val="24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  <w:t xml:space="preserve">КБК 00000000000000000517</w:t>
      </w:r>
      <w:r>
        <w:rPr>
          <w:szCs w:val="24"/>
          <w:highlight w:val="none"/>
        </w:rPr>
      </w:r>
      <w:r>
        <w:rPr>
          <w:szCs w:val="24"/>
          <w:highlight w:val="none"/>
        </w:rPr>
      </w:r>
    </w:p>
    <w:p>
      <w:pPr>
        <w:ind w:left="0" w:right="-6" w:firstLine="709"/>
        <w:jc w:val="both"/>
        <w:spacing w:line="57" w:lineRule="atLeast"/>
        <w:rPr>
          <w:sz w:val="24"/>
          <w:szCs w:val="24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  <w:t xml:space="preserve">В платежном поручении, в графе «назначение платежа» указывается: «Денежное обеспечение заявки для участия в открытом конкурсе на право заключения договора управления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  <w:t xml:space="preserve">многоквартирным домом по адресу: Иркутская область, г.Тайшет, мкр.им.Пахотищева, д. 8, д. 10, 10а, НДС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  <w:t xml:space="preserve">н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  <w:t xml:space="preserve">е облагается».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ind w:firstLine="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14. Срок действия договора управления многоквартирным домом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: 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ind w:left="0" w:right="-6" w:firstLine="708"/>
        <w:jc w:val="both"/>
        <w:spacing w:line="57" w:lineRule="atLeast"/>
        <w:rPr>
          <w:b w:val="0"/>
          <w:bCs w:val="0"/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b w:val="0"/>
          <w:bCs w:val="0"/>
          <w:highlight w:val="white"/>
        </w:rPr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 xml:space="preserve">Срок действия договора управления многоквартирным домом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 xml:space="preserve"> устанавливается на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 xml:space="preserve"> 3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 xml:space="preserve">года.</w:t>
      </w:r>
      <w:r>
        <w:rPr>
          <w:b w:val="0"/>
          <w:bCs w:val="0"/>
          <w:highlight w:val="white"/>
        </w:rPr>
      </w:r>
      <w:r>
        <w:rPr>
          <w:b w:val="0"/>
          <w:bCs w:val="0"/>
          <w:highlight w:val="white"/>
        </w:rPr>
      </w:r>
    </w:p>
    <w:p>
      <w:pPr>
        <w:ind w:left="0" w:right="-6" w:firstLine="709"/>
        <w:jc w:val="both"/>
        <w:spacing w:line="57" w:lineRule="atLeast"/>
        <w:rPr>
          <w:rFonts w:ascii="Times New Roman" w:hAnsi="Times New Roman" w:cs="Times New Roman"/>
          <w:sz w:val="24"/>
          <w:szCs w:val="24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</w:p>
    <w:p>
      <w:pPr>
        <w:rPr>
          <w:rFonts w:ascii="Times New Roman" w:hAnsi="Times New Roman" w:cs="Times New Roman"/>
          <w:sz w:val="24"/>
          <w:szCs w:val="24"/>
          <w:highlight w:val="none"/>
        </w:rPr>
        <w:framePr w:hSpace="180" w:wrap="around" w:vAnchor="text" w:hAnchor="margin" w:y="24"/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Н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ачальник управления жилищно-коммунального </w:t>
      </w: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</w:p>
    <w:p>
      <w:pPr>
        <w:rPr>
          <w:rFonts w:ascii="Times New Roman" w:hAnsi="Times New Roman" w:cs="Times New Roman"/>
          <w:sz w:val="24"/>
          <w:szCs w:val="24"/>
          <w:highlight w:val="none"/>
        </w:rPr>
        <w:framePr w:hSpace="180" w:wrap="around" w:vAnchor="text" w:hAnchor="margin" w:y="24"/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хозяйства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администрации Тайшетского </w:t>
      </w: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</w:p>
    <w:p>
      <w:pPr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муниципального округа                                                                                    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Е.В.Пуляров</w:t>
      </w: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</w:p>
    <w:sectPr>
      <w:footerReference w:type="default" r:id="rId9"/>
      <w:footerReference w:type="even" r:id="rId10"/>
      <w:footnotePr/>
      <w:endnotePr/>
      <w:type w:val="nextPage"/>
      <w:pgSz w:w="11906" w:h="16838" w:orient="portrait"/>
      <w:pgMar w:top="426" w:right="466" w:bottom="360" w:left="1134" w:header="720" w:footer="720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Wingdings">
    <w:panose1 w:val="05010000000000000000"/>
  </w:font>
  <w:font w:name="Calibri">
    <w:panose1 w:val="020F0502020204030204"/>
  </w:font>
  <w:font w:name="Times New Roman">
    <w:panose1 w:val="02020603050405020304"/>
  </w:font>
  <w:font w:name="Consultant">
    <w:panose1 w:val="02020603050405020304"/>
  </w:font>
  <w:font w:name="Courier New">
    <w:panose1 w:val="020704090202050204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47"/>
      <w:rPr>
        <w:rStyle w:val="948"/>
      </w:rPr>
      <w:framePr w:wrap="around" w:vAnchor="text" w:hAnchor="margin" w:xAlign="right" w:y="1"/>
    </w:pPr>
    <w:r>
      <w:rPr>
        <w:rStyle w:val="948"/>
      </w:rPr>
      <w:fldChar w:fldCharType="begin"/>
    </w:r>
    <w:r>
      <w:rPr>
        <w:rStyle w:val="948"/>
      </w:rPr>
      <w:instrText xml:space="preserve">PAGE  </w:instrText>
    </w:r>
    <w:r>
      <w:rPr>
        <w:rStyle w:val="948"/>
      </w:rPr>
      <w:fldChar w:fldCharType="separate"/>
    </w:r>
    <w:r>
      <w:rPr>
        <w:rStyle w:val="948"/>
      </w:rPr>
      <w:t xml:space="preserve">3</w:t>
    </w:r>
    <w:r>
      <w:rPr>
        <w:rStyle w:val="948"/>
      </w:rPr>
      <w:fldChar w:fldCharType="end"/>
    </w:r>
    <w:r>
      <w:rPr>
        <w:rStyle w:val="948"/>
      </w:rPr>
    </w:r>
    <w:r>
      <w:rPr>
        <w:rStyle w:val="948"/>
      </w:rPr>
    </w:r>
  </w:p>
  <w:p>
    <w:pPr>
      <w:pStyle w:val="947"/>
      <w:ind w:right="360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47"/>
      <w:rPr>
        <w:rStyle w:val="948"/>
      </w:rPr>
      <w:framePr w:wrap="around" w:vAnchor="text" w:hAnchor="margin" w:xAlign="right" w:y="1"/>
    </w:pPr>
    <w:r>
      <w:rPr>
        <w:rStyle w:val="948"/>
      </w:rPr>
      <w:fldChar w:fldCharType="begin"/>
    </w:r>
    <w:r>
      <w:rPr>
        <w:rStyle w:val="948"/>
      </w:rPr>
      <w:instrText xml:space="preserve">PAGE  </w:instrText>
    </w:r>
    <w:r>
      <w:rPr>
        <w:rStyle w:val="948"/>
      </w:rPr>
      <w:fldChar w:fldCharType="end"/>
    </w:r>
    <w:r>
      <w:rPr>
        <w:rStyle w:val="948"/>
      </w:rPr>
    </w:r>
    <w:r>
      <w:rPr>
        <w:rStyle w:val="948"/>
      </w:rPr>
    </w:r>
  </w:p>
  <w:p>
    <w:pPr>
      <w:pStyle w:val="947"/>
      <w:ind w:right="360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1140" w:hanging="360"/>
        <w:tabs>
          <w:tab w:val="num" w:pos="114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0"/>
      <w:numFmt w:val="bullet"/>
      <w:isLgl w:val="false"/>
      <w:suff w:val="tab"/>
      <w:lvlText w:val="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870" w:hanging="360"/>
        <w:tabs>
          <w:tab w:val="num" w:pos="87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">
    <w:multiLevelType w:val="hybridMultilevel"/>
    <w:lvl w:ilvl="0">
      <w:start w:val="0"/>
      <w:numFmt w:val="bullet"/>
      <w:isLgl w:val="false"/>
      <w:suff w:val="tab"/>
      <w:lvlText w:val="-"/>
      <w:lvlJc w:val="left"/>
      <w:pPr>
        <w:ind w:left="870" w:hanging="360"/>
        <w:tabs>
          <w:tab w:val="num" w:pos="87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870" w:hanging="360"/>
        <w:tabs>
          <w:tab w:val="num" w:pos="87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17" w:hanging="360"/>
        <w:tabs>
          <w:tab w:val="num" w:pos="417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137" w:hanging="360"/>
        <w:tabs>
          <w:tab w:val="num" w:pos="1137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1857" w:hanging="180"/>
        <w:tabs>
          <w:tab w:val="num" w:pos="1857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577" w:hanging="360"/>
        <w:tabs>
          <w:tab w:val="num" w:pos="2577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297" w:hanging="360"/>
        <w:tabs>
          <w:tab w:val="num" w:pos="3297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017" w:hanging="180"/>
        <w:tabs>
          <w:tab w:val="num" w:pos="4017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4737" w:hanging="360"/>
        <w:tabs>
          <w:tab w:val="num" w:pos="4737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457" w:hanging="360"/>
        <w:tabs>
          <w:tab w:val="num" w:pos="5457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177" w:hanging="180"/>
        <w:tabs>
          <w:tab w:val="num" w:pos="6177" w:leader="none"/>
        </w:tabs>
      </w:pPr>
    </w:lvl>
  </w:abstractNum>
  <w:abstractNum w:abstractNumId="6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sz w:val="22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80" w:hanging="360"/>
        <w:tabs>
          <w:tab w:val="num" w:pos="108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80" w:hanging="360"/>
        <w:tabs>
          <w:tab w:val="num" w:pos="108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9">
    <w:multiLevelType w:val="hybridMultilevel"/>
    <w:lvl w:ilvl="0">
      <w:start w:val="10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7"/>
      <w:numFmt w:val="bullet"/>
      <w:isLgl w:val="false"/>
      <w:suff w:val="tab"/>
      <w:lvlText w:val=""/>
      <w:lvlJc w:val="left"/>
      <w:pPr>
        <w:ind w:left="1440" w:hanging="360"/>
        <w:tabs>
          <w:tab w:val="num" w:pos="1440" w:leader="none"/>
        </w:tabs>
      </w:pPr>
      <w:rPr>
        <w:rFonts w:ascii="Symbol" w:hAnsi="Symbol" w:eastAsia="Times New Roman" w:cs="Times New Roman"/>
      </w:r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11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1140" w:hanging="360"/>
        <w:tabs>
          <w:tab w:val="num" w:pos="114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1170" w:hanging="390"/>
        <w:tabs>
          <w:tab w:val="num" w:pos="117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1500" w:hanging="720"/>
        <w:tabs>
          <w:tab w:val="num" w:pos="150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500" w:hanging="720"/>
        <w:tabs>
          <w:tab w:val="num" w:pos="150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860" w:hanging="1080"/>
        <w:tabs>
          <w:tab w:val="num" w:pos="186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860" w:hanging="1080"/>
        <w:tabs>
          <w:tab w:val="num" w:pos="186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2220" w:hanging="1440"/>
        <w:tabs>
          <w:tab w:val="num" w:pos="222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220" w:hanging="1440"/>
        <w:tabs>
          <w:tab w:val="num" w:pos="222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580" w:hanging="1800"/>
        <w:tabs>
          <w:tab w:val="num" w:pos="2580" w:leader="none"/>
        </w:tabs>
      </w:p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80" w:hanging="360"/>
        <w:tabs>
          <w:tab w:val="num" w:pos="108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3">
    <w:multiLevelType w:val="hybridMultilevel"/>
    <w:lvl w:ilvl="0">
      <w:start w:val="11"/>
      <w:numFmt w:val="decimal"/>
      <w:pStyle w:val="957"/>
      <w:isLgl w:val="false"/>
      <w:suff w:val="tab"/>
      <w:lvlText w:val="%1."/>
      <w:lvlJc w:val="left"/>
      <w:pPr>
        <w:ind w:left="480" w:hanging="480"/>
        <w:tabs>
          <w:tab w:val="num" w:pos="48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480" w:hanging="480"/>
        <w:tabs>
          <w:tab w:val="num" w:pos="48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  <w:tabs>
          <w:tab w:val="num" w:pos="72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  <w:tabs>
          <w:tab w:val="num" w:pos="108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  <w:tabs>
          <w:tab w:val="num" w:pos="144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  <w:tabs>
          <w:tab w:val="num" w:pos="144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  <w:tabs>
          <w:tab w:val="num" w:pos="1800" w:leader="none"/>
        </w:tabs>
      </w:p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440" w:hanging="360"/>
        <w:tabs>
          <w:tab w:val="num" w:pos="144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5.%1."/>
      <w:legacy w:legacy="1" w:legacyIndent="0" w:legacySpace="0"/>
      <w:lvlJc w:val="left"/>
      <w:pPr/>
      <w:rPr>
        <w:rFonts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6">
    <w:multiLevelType w:val="hybridMultilevel"/>
    <w:lvl w:ilvl="0">
      <w:start w:val="1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17">
    <w:multiLevelType w:val="hybridMultilevel"/>
    <w:lvl w:ilvl="0">
      <w:start w:val="0"/>
      <w:numFmt w:val="bullet"/>
      <w:isLgl w:val="false"/>
      <w:suff w:val="tab"/>
      <w:lvlText w:val="-"/>
      <w:lvlJc w:val="left"/>
      <w:pPr>
        <w:ind w:left="870" w:hanging="360"/>
        <w:tabs>
          <w:tab w:val="num" w:pos="87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  <w:tabs>
          <w:tab w:val="num" w:pos="108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  <w:tabs>
          <w:tab w:val="num" w:pos="180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  <w:tabs>
          <w:tab w:val="num" w:pos="252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  <w:tabs>
          <w:tab w:val="num" w:pos="324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  <w:tabs>
          <w:tab w:val="num" w:pos="396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  <w:tabs>
          <w:tab w:val="num" w:pos="468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  <w:tabs>
          <w:tab w:val="num" w:pos="540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  <w:tabs>
          <w:tab w:val="num" w:pos="6120" w:leader="none"/>
        </w:tabs>
      </w:pPr>
    </w:lvl>
  </w:abstractNum>
  <w:abstractNum w:abstractNumId="22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870" w:hanging="360"/>
        <w:tabs>
          <w:tab w:val="num" w:pos="87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590" w:hanging="360"/>
        <w:tabs>
          <w:tab w:val="num" w:pos="159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310" w:hanging="180"/>
        <w:tabs>
          <w:tab w:val="num" w:pos="231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030" w:hanging="360"/>
        <w:tabs>
          <w:tab w:val="num" w:pos="303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750" w:hanging="360"/>
        <w:tabs>
          <w:tab w:val="num" w:pos="375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470" w:hanging="180"/>
        <w:tabs>
          <w:tab w:val="num" w:pos="447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190" w:hanging="360"/>
        <w:tabs>
          <w:tab w:val="num" w:pos="519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910" w:hanging="360"/>
        <w:tabs>
          <w:tab w:val="num" w:pos="591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630" w:hanging="180"/>
        <w:tabs>
          <w:tab w:val="num" w:pos="6630" w:leader="none"/>
        </w:tabs>
      </w:p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80" w:hanging="360"/>
        <w:tabs>
          <w:tab w:val="num" w:pos="108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5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1140" w:hanging="360"/>
        <w:tabs>
          <w:tab w:val="num" w:pos="114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1170" w:hanging="390"/>
        <w:tabs>
          <w:tab w:val="num" w:pos="117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1500" w:hanging="720"/>
        <w:tabs>
          <w:tab w:val="num" w:pos="150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500" w:hanging="720"/>
        <w:tabs>
          <w:tab w:val="num" w:pos="150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860" w:hanging="1080"/>
        <w:tabs>
          <w:tab w:val="num" w:pos="186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860" w:hanging="1080"/>
        <w:tabs>
          <w:tab w:val="num" w:pos="186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2220" w:hanging="1440"/>
        <w:tabs>
          <w:tab w:val="num" w:pos="222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220" w:hanging="1440"/>
        <w:tabs>
          <w:tab w:val="num" w:pos="222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580" w:hanging="1800"/>
        <w:tabs>
          <w:tab w:val="num" w:pos="2580" w:leader="none"/>
        </w:tabs>
      </w:p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right"/>
      <w:pPr>
        <w:ind w:left="709" w:hanging="360"/>
      </w:pPr>
      <w:rPr>
        <w:rFonts w:ascii="Times New Roman" w:hAnsi="Times New Roman" w:eastAsia="Times New Roman" w:cs="Times New Roman"/>
        <w:color w:val="000000"/>
        <w:sz w:val="22"/>
      </w:rPr>
    </w:lvl>
    <w:lvl w:ilvl="1">
      <w:start w:val="1"/>
      <w:numFmt w:val="decimal"/>
      <w:isLgl w:val="false"/>
      <w:suff w:val="tab"/>
      <w:lvlText w:val="%2."/>
      <w:lvlJc w:val="right"/>
      <w:pPr>
        <w:ind w:left="1429" w:hanging="360"/>
      </w:pPr>
    </w:lvl>
    <w:lvl w:ilvl="2">
      <w:start w:val="1"/>
      <w:numFmt w:val="decimal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right"/>
      <w:pPr>
        <w:ind w:left="2869" w:hanging="360"/>
      </w:pPr>
    </w:lvl>
    <w:lvl w:ilvl="4">
      <w:start w:val="1"/>
      <w:numFmt w:val="decimal"/>
      <w:isLgl w:val="false"/>
      <w:suff w:val="tab"/>
      <w:lvlText w:val="%5."/>
      <w:lvlJc w:val="right"/>
      <w:pPr>
        <w:ind w:left="3589" w:hanging="360"/>
      </w:pPr>
    </w:lvl>
    <w:lvl w:ilvl="5">
      <w:start w:val="1"/>
      <w:numFmt w:val="decimal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right"/>
      <w:pPr>
        <w:ind w:left="5029" w:hanging="360"/>
      </w:pPr>
    </w:lvl>
    <w:lvl w:ilvl="7">
      <w:start w:val="1"/>
      <w:numFmt w:val="decimal"/>
      <w:isLgl w:val="false"/>
      <w:suff w:val="tab"/>
      <w:lvlText w:val="%8."/>
      <w:lvlJc w:val="right"/>
      <w:pPr>
        <w:ind w:left="5749" w:hanging="360"/>
      </w:pPr>
    </w:lvl>
    <w:lvl w:ilvl="8">
      <w:start w:val="1"/>
      <w:numFmt w:val="decimal"/>
      <w:isLgl w:val="false"/>
      <w:suff w:val="tab"/>
      <w:lvlText w:val="%9."/>
      <w:lvlJc w:val="right"/>
      <w:pPr>
        <w:ind w:left="6469" w:hanging="180"/>
      </w:p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."/>
      <w:lvlJc w:val="right"/>
      <w:pPr>
        <w:ind w:left="709" w:hanging="360"/>
      </w:pPr>
      <w:rPr>
        <w:rFonts w:ascii="Times New Roman" w:hAnsi="Times New Roman" w:eastAsia="Times New Roman" w:cs="Times New Roman"/>
        <w:color w:val="000000"/>
        <w:sz w:val="22"/>
      </w:rPr>
    </w:lvl>
    <w:lvl w:ilvl="1">
      <w:start w:val="1"/>
      <w:numFmt w:val="decimal"/>
      <w:isLgl w:val="false"/>
      <w:suff w:val="tab"/>
      <w:lvlText w:val="%2."/>
      <w:lvlJc w:val="right"/>
      <w:pPr>
        <w:ind w:left="1429" w:hanging="360"/>
      </w:pPr>
    </w:lvl>
    <w:lvl w:ilvl="2">
      <w:start w:val="1"/>
      <w:numFmt w:val="decimal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right"/>
      <w:pPr>
        <w:ind w:left="2869" w:hanging="360"/>
      </w:pPr>
    </w:lvl>
    <w:lvl w:ilvl="4">
      <w:start w:val="1"/>
      <w:numFmt w:val="decimal"/>
      <w:isLgl w:val="false"/>
      <w:suff w:val="tab"/>
      <w:lvlText w:val="%5."/>
      <w:lvlJc w:val="right"/>
      <w:pPr>
        <w:ind w:left="3589" w:hanging="360"/>
      </w:pPr>
    </w:lvl>
    <w:lvl w:ilvl="5">
      <w:start w:val="1"/>
      <w:numFmt w:val="decimal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right"/>
      <w:pPr>
        <w:ind w:left="5029" w:hanging="360"/>
      </w:pPr>
    </w:lvl>
    <w:lvl w:ilvl="7">
      <w:start w:val="1"/>
      <w:numFmt w:val="decimal"/>
      <w:isLgl w:val="false"/>
      <w:suff w:val="tab"/>
      <w:lvlText w:val="%8."/>
      <w:lvlJc w:val="right"/>
      <w:pPr>
        <w:ind w:left="5749" w:hanging="360"/>
      </w:pPr>
    </w:lvl>
    <w:lvl w:ilvl="8">
      <w:start w:val="1"/>
      <w:numFmt w:val="decimal"/>
      <w:isLgl w:val="false"/>
      <w:suff w:val="tab"/>
      <w:lvlText w:val="%9."/>
      <w:lvlJc w:val="right"/>
      <w:pPr>
        <w:ind w:left="6469" w:hanging="180"/>
      </w:pPr>
    </w:lvl>
  </w:abstractNum>
  <w:abstractNum w:abstractNumId="28">
    <w:multiLevelType w:val="hybridMultilevel"/>
    <w:lvl w:ilvl="0">
      <w:start w:val="1"/>
      <w:numFmt w:val="decimal"/>
      <w:isLgl w:val="false"/>
      <w:suff w:val="tab"/>
      <w:lvlText w:val="%1."/>
      <w:lvlJc w:val="right"/>
      <w:pPr>
        <w:ind w:left="709" w:hanging="360"/>
      </w:pPr>
      <w:rPr>
        <w:rFonts w:ascii="Times New Roman" w:hAnsi="Times New Roman" w:eastAsia="Times New Roman" w:cs="Times New Roman"/>
        <w:color w:val="000000"/>
        <w:sz w:val="22"/>
      </w:rPr>
    </w:lvl>
    <w:lvl w:ilvl="1">
      <w:start w:val="1"/>
      <w:numFmt w:val="decimal"/>
      <w:isLgl w:val="false"/>
      <w:suff w:val="tab"/>
      <w:lvlText w:val="%2."/>
      <w:lvlJc w:val="right"/>
      <w:pPr>
        <w:ind w:left="1429" w:hanging="360"/>
      </w:pPr>
    </w:lvl>
    <w:lvl w:ilvl="2">
      <w:start w:val="1"/>
      <w:numFmt w:val="decimal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right"/>
      <w:pPr>
        <w:ind w:left="2869" w:hanging="360"/>
      </w:pPr>
    </w:lvl>
    <w:lvl w:ilvl="4">
      <w:start w:val="1"/>
      <w:numFmt w:val="decimal"/>
      <w:isLgl w:val="false"/>
      <w:suff w:val="tab"/>
      <w:lvlText w:val="%5."/>
      <w:lvlJc w:val="right"/>
      <w:pPr>
        <w:ind w:left="3589" w:hanging="360"/>
      </w:pPr>
    </w:lvl>
    <w:lvl w:ilvl="5">
      <w:start w:val="1"/>
      <w:numFmt w:val="decimal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right"/>
      <w:pPr>
        <w:ind w:left="5029" w:hanging="360"/>
      </w:pPr>
    </w:lvl>
    <w:lvl w:ilvl="7">
      <w:start w:val="1"/>
      <w:numFmt w:val="decimal"/>
      <w:isLgl w:val="false"/>
      <w:suff w:val="tab"/>
      <w:lvlText w:val="%8."/>
      <w:lvlJc w:val="right"/>
      <w:pPr>
        <w:ind w:left="5749" w:hanging="360"/>
      </w:pPr>
    </w:lvl>
    <w:lvl w:ilvl="8">
      <w:start w:val="1"/>
      <w:numFmt w:val="decimal"/>
      <w:isLgl w:val="false"/>
      <w:suff w:val="tab"/>
      <w:lvlText w:val="%9."/>
      <w:lvlJc w:val="right"/>
      <w:pPr>
        <w:ind w:left="6469" w:hanging="180"/>
      </w:p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."/>
      <w:lvlJc w:val="right"/>
      <w:pPr>
        <w:ind w:left="709" w:hanging="360"/>
      </w:pPr>
      <w:rPr>
        <w:rFonts w:ascii="Times New Roman" w:hAnsi="Times New Roman" w:eastAsia="Times New Roman" w:cs="Times New Roman"/>
        <w:color w:val="000000"/>
        <w:sz w:val="22"/>
      </w:rPr>
    </w:lvl>
    <w:lvl w:ilvl="1">
      <w:start w:val="1"/>
      <w:numFmt w:val="decimal"/>
      <w:isLgl w:val="false"/>
      <w:suff w:val="tab"/>
      <w:lvlText w:val="%2."/>
      <w:lvlJc w:val="right"/>
      <w:pPr>
        <w:ind w:left="1429" w:hanging="360"/>
      </w:pPr>
    </w:lvl>
    <w:lvl w:ilvl="2">
      <w:start w:val="1"/>
      <w:numFmt w:val="decimal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right"/>
      <w:pPr>
        <w:ind w:left="2869" w:hanging="360"/>
      </w:pPr>
    </w:lvl>
    <w:lvl w:ilvl="4">
      <w:start w:val="1"/>
      <w:numFmt w:val="decimal"/>
      <w:isLgl w:val="false"/>
      <w:suff w:val="tab"/>
      <w:lvlText w:val="%5."/>
      <w:lvlJc w:val="right"/>
      <w:pPr>
        <w:ind w:left="3589" w:hanging="360"/>
      </w:pPr>
    </w:lvl>
    <w:lvl w:ilvl="5">
      <w:start w:val="1"/>
      <w:numFmt w:val="decimal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right"/>
      <w:pPr>
        <w:ind w:left="5029" w:hanging="360"/>
      </w:pPr>
    </w:lvl>
    <w:lvl w:ilvl="7">
      <w:start w:val="1"/>
      <w:numFmt w:val="decimal"/>
      <w:isLgl w:val="false"/>
      <w:suff w:val="tab"/>
      <w:lvlText w:val="%8."/>
      <w:lvlJc w:val="right"/>
      <w:pPr>
        <w:ind w:left="5749" w:hanging="360"/>
      </w:pPr>
    </w:lvl>
    <w:lvl w:ilvl="8">
      <w:start w:val="1"/>
      <w:numFmt w:val="decimal"/>
      <w:isLgl w:val="false"/>
      <w:suff w:val="tab"/>
      <w:lvlText w:val="%9."/>
      <w:lvlJc w:val="right"/>
      <w:pPr>
        <w:ind w:left="6469" w:hanging="180"/>
      </w:p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."/>
      <w:lvlJc w:val="right"/>
      <w:pPr>
        <w:ind w:left="709" w:hanging="360"/>
      </w:pPr>
      <w:rPr>
        <w:rFonts w:ascii="Times New Roman" w:hAnsi="Times New Roman" w:eastAsia="Times New Roman" w:cs="Times New Roman"/>
        <w:color w:val="000000"/>
        <w:sz w:val="22"/>
      </w:rPr>
    </w:lvl>
    <w:lvl w:ilvl="1">
      <w:start w:val="1"/>
      <w:numFmt w:val="decimal"/>
      <w:isLgl w:val="false"/>
      <w:suff w:val="tab"/>
      <w:lvlText w:val="%2."/>
      <w:lvlJc w:val="right"/>
      <w:pPr>
        <w:ind w:left="1429" w:hanging="360"/>
      </w:pPr>
    </w:lvl>
    <w:lvl w:ilvl="2">
      <w:start w:val="1"/>
      <w:numFmt w:val="decimal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right"/>
      <w:pPr>
        <w:ind w:left="2869" w:hanging="360"/>
      </w:pPr>
    </w:lvl>
    <w:lvl w:ilvl="4">
      <w:start w:val="1"/>
      <w:numFmt w:val="decimal"/>
      <w:isLgl w:val="false"/>
      <w:suff w:val="tab"/>
      <w:lvlText w:val="%5."/>
      <w:lvlJc w:val="right"/>
      <w:pPr>
        <w:ind w:left="3589" w:hanging="360"/>
      </w:pPr>
    </w:lvl>
    <w:lvl w:ilvl="5">
      <w:start w:val="1"/>
      <w:numFmt w:val="decimal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right"/>
      <w:pPr>
        <w:ind w:left="5029" w:hanging="360"/>
      </w:pPr>
    </w:lvl>
    <w:lvl w:ilvl="7">
      <w:start w:val="1"/>
      <w:numFmt w:val="decimal"/>
      <w:isLgl w:val="false"/>
      <w:suff w:val="tab"/>
      <w:lvlText w:val="%8."/>
      <w:lvlJc w:val="right"/>
      <w:pPr>
        <w:ind w:left="5749" w:hanging="360"/>
      </w:pPr>
    </w:lvl>
    <w:lvl w:ilvl="8">
      <w:start w:val="1"/>
      <w:numFmt w:val="decimal"/>
      <w:isLgl w:val="false"/>
      <w:suff w:val="tab"/>
      <w:lvlText w:val="%9."/>
      <w:lvlJc w:val="right"/>
      <w:pPr>
        <w:ind w:left="6469" w:hanging="180"/>
      </w:pPr>
    </w:lvl>
  </w:abstractNum>
  <w:abstractNum w:abstractNumId="3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3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7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7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7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7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7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7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7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7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7" w:hanging="360"/>
      </w:pPr>
      <w:rPr>
        <w:rFonts w:hint="default" w:ascii="Wingdings" w:hAnsi="Wingdings" w:eastAsia="Wingdings" w:cs="Wingdings"/>
      </w:rPr>
    </w:lvl>
  </w:abstractNum>
  <w:abstractNum w:abstractNumId="3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7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7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7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7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7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7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7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7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7" w:hanging="360"/>
      </w:pPr>
      <w:rPr>
        <w:rFonts w:hint="default" w:ascii="Wingdings" w:hAnsi="Wingdings" w:eastAsia="Wingdings" w:cs="Wingdings"/>
      </w:rPr>
    </w:lvl>
  </w:abstractNum>
  <w:num w:numId="1">
    <w:abstractNumId w:val="6"/>
  </w:num>
  <w:num w:numId="2">
    <w:abstractNumId w:val="12"/>
  </w:num>
  <w:num w:numId="3">
    <w:abstractNumId w:val="14"/>
  </w:num>
  <w:num w:numId="4">
    <w:abstractNumId w:val="7"/>
  </w:num>
  <w:num w:numId="5">
    <w:abstractNumId w:val="8"/>
  </w:num>
  <w:num w:numId="6">
    <w:abstractNumId w:val="24"/>
  </w:num>
  <w:num w:numId="7">
    <w:abstractNumId w:val="20"/>
  </w:num>
  <w:num w:numId="8">
    <w:abstractNumId w:val="22"/>
  </w:num>
  <w:num w:numId="9">
    <w:abstractNumId w:val="0"/>
  </w:num>
  <w:num w:numId="10">
    <w:abstractNumId w:val="25"/>
  </w:num>
  <w:num w:numId="11">
    <w:abstractNumId w:val="11"/>
  </w:num>
  <w:num w:numId="12">
    <w:abstractNumId w:val="2"/>
  </w:num>
  <w:num w:numId="13">
    <w:abstractNumId w:val="4"/>
  </w:num>
  <w:num w:numId="14">
    <w:abstractNumId w:val="3"/>
  </w:num>
  <w:num w:numId="15">
    <w:abstractNumId w:val="1"/>
  </w:num>
  <w:num w:numId="16">
    <w:abstractNumId w:val="17"/>
  </w:num>
  <w:num w:numId="17">
    <w:abstractNumId w:val="23"/>
  </w:num>
  <w:num w:numId="18">
    <w:abstractNumId w:val="19"/>
  </w:num>
  <w:num w:numId="19">
    <w:abstractNumId w:val="10"/>
  </w:num>
  <w:num w:numId="20">
    <w:abstractNumId w:val="16"/>
  </w:num>
  <w:num w:numId="21">
    <w:abstractNumId w:val="9"/>
  </w:num>
  <w:num w:numId="22">
    <w:abstractNumId w:val="13"/>
  </w:num>
  <w:num w:numId="23">
    <w:abstractNumId w:val="18"/>
  </w:num>
  <w:num w:numId="24">
    <w:abstractNumId w:val="21"/>
  </w:num>
  <w:num w:numId="25">
    <w:abstractNumId w:val="15"/>
  </w:num>
  <w:num w:numId="26">
    <w:abstractNumId w:val="5"/>
  </w:num>
  <w:num w:numId="27">
    <w:abstractNumId w:val="26"/>
  </w:num>
  <w:num w:numId="28">
    <w:abstractNumId w:val="27"/>
  </w:num>
  <w:num w:numId="29">
    <w:abstractNumId w:val="28"/>
  </w:num>
  <w:num w:numId="30">
    <w:abstractNumId w:val="29"/>
  </w:num>
  <w:num w:numId="31">
    <w:abstractNumId w:val="30"/>
  </w:num>
  <w:num w:numId="32">
    <w:abstractNumId w:val="31"/>
  </w:num>
  <w:num w:numId="33">
    <w:abstractNumId w:val="32"/>
  </w:num>
  <w:num w:numId="34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60">
    <w:name w:val="Heading 1"/>
    <w:basedOn w:val="937"/>
    <w:next w:val="937"/>
    <w:link w:val="761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761">
    <w:name w:val="Heading 1 Char"/>
    <w:link w:val="760"/>
    <w:uiPriority w:val="9"/>
    <w:rPr>
      <w:rFonts w:ascii="Arial" w:hAnsi="Arial" w:eastAsia="Arial" w:cs="Arial"/>
      <w:sz w:val="40"/>
      <w:szCs w:val="40"/>
    </w:rPr>
  </w:style>
  <w:style w:type="paragraph" w:styleId="762">
    <w:name w:val="Heading 2"/>
    <w:basedOn w:val="937"/>
    <w:next w:val="937"/>
    <w:link w:val="763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763">
    <w:name w:val="Heading 2 Char"/>
    <w:link w:val="762"/>
    <w:uiPriority w:val="9"/>
    <w:rPr>
      <w:rFonts w:ascii="Arial" w:hAnsi="Arial" w:eastAsia="Arial" w:cs="Arial"/>
      <w:sz w:val="34"/>
    </w:rPr>
  </w:style>
  <w:style w:type="paragraph" w:styleId="764">
    <w:name w:val="Heading 3"/>
    <w:basedOn w:val="937"/>
    <w:next w:val="937"/>
    <w:link w:val="765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765">
    <w:name w:val="Heading 3 Char"/>
    <w:link w:val="764"/>
    <w:uiPriority w:val="9"/>
    <w:rPr>
      <w:rFonts w:ascii="Arial" w:hAnsi="Arial" w:eastAsia="Arial" w:cs="Arial"/>
      <w:sz w:val="30"/>
      <w:szCs w:val="30"/>
    </w:rPr>
  </w:style>
  <w:style w:type="paragraph" w:styleId="766">
    <w:name w:val="Heading 4"/>
    <w:basedOn w:val="937"/>
    <w:next w:val="937"/>
    <w:link w:val="767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67">
    <w:name w:val="Heading 4 Char"/>
    <w:link w:val="766"/>
    <w:uiPriority w:val="9"/>
    <w:rPr>
      <w:rFonts w:ascii="Arial" w:hAnsi="Arial" w:eastAsia="Arial" w:cs="Arial"/>
      <w:b/>
      <w:bCs/>
      <w:sz w:val="26"/>
      <w:szCs w:val="26"/>
    </w:rPr>
  </w:style>
  <w:style w:type="paragraph" w:styleId="768">
    <w:name w:val="Heading 5"/>
    <w:basedOn w:val="937"/>
    <w:next w:val="937"/>
    <w:link w:val="769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69">
    <w:name w:val="Heading 5 Char"/>
    <w:link w:val="768"/>
    <w:uiPriority w:val="9"/>
    <w:rPr>
      <w:rFonts w:ascii="Arial" w:hAnsi="Arial" w:eastAsia="Arial" w:cs="Arial"/>
      <w:b/>
      <w:bCs/>
      <w:sz w:val="24"/>
      <w:szCs w:val="24"/>
    </w:rPr>
  </w:style>
  <w:style w:type="paragraph" w:styleId="770">
    <w:name w:val="Heading 6"/>
    <w:basedOn w:val="937"/>
    <w:next w:val="937"/>
    <w:link w:val="771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71">
    <w:name w:val="Heading 6 Char"/>
    <w:link w:val="770"/>
    <w:uiPriority w:val="9"/>
    <w:rPr>
      <w:rFonts w:ascii="Arial" w:hAnsi="Arial" w:eastAsia="Arial" w:cs="Arial"/>
      <w:b/>
      <w:bCs/>
      <w:sz w:val="22"/>
      <w:szCs w:val="22"/>
    </w:rPr>
  </w:style>
  <w:style w:type="paragraph" w:styleId="772">
    <w:name w:val="Heading 7"/>
    <w:basedOn w:val="937"/>
    <w:next w:val="937"/>
    <w:link w:val="773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73">
    <w:name w:val="Heading 7 Char"/>
    <w:link w:val="77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74">
    <w:name w:val="Heading 8"/>
    <w:basedOn w:val="937"/>
    <w:next w:val="937"/>
    <w:link w:val="775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75">
    <w:name w:val="Heading 8 Char"/>
    <w:link w:val="774"/>
    <w:uiPriority w:val="9"/>
    <w:rPr>
      <w:rFonts w:ascii="Arial" w:hAnsi="Arial" w:eastAsia="Arial" w:cs="Arial"/>
      <w:i/>
      <w:iCs/>
      <w:sz w:val="22"/>
      <w:szCs w:val="22"/>
    </w:rPr>
  </w:style>
  <w:style w:type="paragraph" w:styleId="776">
    <w:name w:val="Heading 9"/>
    <w:basedOn w:val="937"/>
    <w:next w:val="937"/>
    <w:link w:val="777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77">
    <w:name w:val="Heading 9 Char"/>
    <w:link w:val="776"/>
    <w:uiPriority w:val="9"/>
    <w:rPr>
      <w:rFonts w:ascii="Arial" w:hAnsi="Arial" w:eastAsia="Arial" w:cs="Arial"/>
      <w:i/>
      <w:iCs/>
      <w:sz w:val="21"/>
      <w:szCs w:val="21"/>
    </w:rPr>
  </w:style>
  <w:style w:type="paragraph" w:styleId="778">
    <w:name w:val="List Paragraph"/>
    <w:basedOn w:val="937"/>
    <w:uiPriority w:val="34"/>
    <w:qFormat/>
    <w:pPr>
      <w:contextualSpacing/>
      <w:ind w:left="720"/>
    </w:pPr>
  </w:style>
  <w:style w:type="paragraph" w:styleId="779">
    <w:name w:val="Title"/>
    <w:basedOn w:val="937"/>
    <w:next w:val="937"/>
    <w:link w:val="780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80">
    <w:name w:val="Title Char"/>
    <w:link w:val="779"/>
    <w:uiPriority w:val="10"/>
    <w:rPr>
      <w:sz w:val="48"/>
      <w:szCs w:val="48"/>
    </w:rPr>
  </w:style>
  <w:style w:type="paragraph" w:styleId="781">
    <w:name w:val="Subtitle"/>
    <w:basedOn w:val="937"/>
    <w:next w:val="937"/>
    <w:link w:val="782"/>
    <w:uiPriority w:val="11"/>
    <w:qFormat/>
    <w:pPr>
      <w:spacing w:before="200" w:after="200"/>
    </w:pPr>
    <w:rPr>
      <w:sz w:val="24"/>
      <w:szCs w:val="24"/>
    </w:rPr>
  </w:style>
  <w:style w:type="character" w:styleId="782">
    <w:name w:val="Subtitle Char"/>
    <w:link w:val="781"/>
    <w:uiPriority w:val="11"/>
    <w:rPr>
      <w:sz w:val="24"/>
      <w:szCs w:val="24"/>
    </w:rPr>
  </w:style>
  <w:style w:type="paragraph" w:styleId="783">
    <w:name w:val="Quote"/>
    <w:basedOn w:val="937"/>
    <w:next w:val="937"/>
    <w:link w:val="784"/>
    <w:uiPriority w:val="29"/>
    <w:qFormat/>
    <w:pPr>
      <w:ind w:left="720" w:right="720"/>
    </w:pPr>
    <w:rPr>
      <w:i/>
    </w:rPr>
  </w:style>
  <w:style w:type="character" w:styleId="784">
    <w:name w:val="Quote Char"/>
    <w:link w:val="783"/>
    <w:uiPriority w:val="29"/>
    <w:rPr>
      <w:i/>
    </w:rPr>
  </w:style>
  <w:style w:type="paragraph" w:styleId="785">
    <w:name w:val="Intense Quote"/>
    <w:basedOn w:val="937"/>
    <w:next w:val="937"/>
    <w:link w:val="786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86">
    <w:name w:val="Intense Quote Char"/>
    <w:link w:val="785"/>
    <w:uiPriority w:val="30"/>
    <w:rPr>
      <w:i/>
    </w:rPr>
  </w:style>
  <w:style w:type="paragraph" w:styleId="787">
    <w:name w:val="Header"/>
    <w:basedOn w:val="937"/>
    <w:link w:val="788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88">
    <w:name w:val="Header Char"/>
    <w:link w:val="787"/>
    <w:uiPriority w:val="99"/>
  </w:style>
  <w:style w:type="paragraph" w:styleId="789">
    <w:name w:val="Footer"/>
    <w:basedOn w:val="937"/>
    <w:link w:val="792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90">
    <w:name w:val="Footer Char"/>
    <w:link w:val="789"/>
    <w:uiPriority w:val="99"/>
  </w:style>
  <w:style w:type="paragraph" w:styleId="791">
    <w:name w:val="Caption"/>
    <w:basedOn w:val="937"/>
    <w:next w:val="93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92">
    <w:name w:val="Caption Char"/>
    <w:basedOn w:val="791"/>
    <w:link w:val="789"/>
    <w:uiPriority w:val="99"/>
  </w:style>
  <w:style w:type="table" w:styleId="793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94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95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96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97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98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9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00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1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2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3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4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5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6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7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8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9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0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1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2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3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4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5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6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7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8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9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0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1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22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823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24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25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26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7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28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29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30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31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32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33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34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835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36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37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38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39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40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41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42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3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4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5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6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7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8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9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0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1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2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3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4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5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6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57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58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59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60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61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62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63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4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5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6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7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8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9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0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1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2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3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4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5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6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7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78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79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80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81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82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83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84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85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86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87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88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89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90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91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92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93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94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95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96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97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98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99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00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01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02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03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04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05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06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07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08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09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10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11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12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913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914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915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916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917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918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919">
    <w:name w:val="Hyperlink"/>
    <w:uiPriority w:val="99"/>
    <w:unhideWhenUsed/>
    <w:rPr>
      <w:color w:val="0000ff" w:themeColor="hyperlink"/>
      <w:u w:val="single"/>
    </w:rPr>
  </w:style>
  <w:style w:type="paragraph" w:styleId="920">
    <w:name w:val="footnote text"/>
    <w:basedOn w:val="937"/>
    <w:link w:val="921"/>
    <w:uiPriority w:val="99"/>
    <w:semiHidden/>
    <w:unhideWhenUsed/>
    <w:pPr>
      <w:spacing w:after="40" w:line="240" w:lineRule="auto"/>
    </w:pPr>
    <w:rPr>
      <w:sz w:val="18"/>
    </w:rPr>
  </w:style>
  <w:style w:type="character" w:styleId="921">
    <w:name w:val="Footnote Text Char"/>
    <w:link w:val="920"/>
    <w:uiPriority w:val="99"/>
    <w:rPr>
      <w:sz w:val="18"/>
    </w:rPr>
  </w:style>
  <w:style w:type="character" w:styleId="922">
    <w:name w:val="footnote reference"/>
    <w:uiPriority w:val="99"/>
    <w:unhideWhenUsed/>
    <w:rPr>
      <w:vertAlign w:val="superscript"/>
    </w:rPr>
  </w:style>
  <w:style w:type="paragraph" w:styleId="923">
    <w:name w:val="endnote text"/>
    <w:basedOn w:val="937"/>
    <w:link w:val="924"/>
    <w:uiPriority w:val="99"/>
    <w:semiHidden/>
    <w:unhideWhenUsed/>
    <w:pPr>
      <w:spacing w:after="0" w:line="240" w:lineRule="auto"/>
    </w:pPr>
    <w:rPr>
      <w:sz w:val="20"/>
    </w:rPr>
  </w:style>
  <w:style w:type="character" w:styleId="924">
    <w:name w:val="Endnote Text Char"/>
    <w:link w:val="923"/>
    <w:uiPriority w:val="99"/>
    <w:rPr>
      <w:sz w:val="20"/>
    </w:rPr>
  </w:style>
  <w:style w:type="character" w:styleId="925">
    <w:name w:val="endnote reference"/>
    <w:uiPriority w:val="99"/>
    <w:semiHidden/>
    <w:unhideWhenUsed/>
    <w:rPr>
      <w:vertAlign w:val="superscript"/>
    </w:rPr>
  </w:style>
  <w:style w:type="paragraph" w:styleId="926">
    <w:name w:val="toc 1"/>
    <w:basedOn w:val="937"/>
    <w:next w:val="937"/>
    <w:uiPriority w:val="39"/>
    <w:unhideWhenUsed/>
    <w:pPr>
      <w:ind w:left="0" w:right="0" w:firstLine="0"/>
      <w:spacing w:after="57"/>
    </w:pPr>
  </w:style>
  <w:style w:type="paragraph" w:styleId="927">
    <w:name w:val="toc 2"/>
    <w:basedOn w:val="937"/>
    <w:next w:val="937"/>
    <w:uiPriority w:val="39"/>
    <w:unhideWhenUsed/>
    <w:pPr>
      <w:ind w:left="283" w:right="0" w:firstLine="0"/>
      <w:spacing w:after="57"/>
    </w:pPr>
  </w:style>
  <w:style w:type="paragraph" w:styleId="928">
    <w:name w:val="toc 3"/>
    <w:basedOn w:val="937"/>
    <w:next w:val="937"/>
    <w:uiPriority w:val="39"/>
    <w:unhideWhenUsed/>
    <w:pPr>
      <w:ind w:left="567" w:right="0" w:firstLine="0"/>
      <w:spacing w:after="57"/>
    </w:pPr>
  </w:style>
  <w:style w:type="paragraph" w:styleId="929">
    <w:name w:val="toc 4"/>
    <w:basedOn w:val="937"/>
    <w:next w:val="937"/>
    <w:uiPriority w:val="39"/>
    <w:unhideWhenUsed/>
    <w:pPr>
      <w:ind w:left="850" w:right="0" w:firstLine="0"/>
      <w:spacing w:after="57"/>
    </w:pPr>
  </w:style>
  <w:style w:type="paragraph" w:styleId="930">
    <w:name w:val="toc 5"/>
    <w:basedOn w:val="937"/>
    <w:next w:val="937"/>
    <w:uiPriority w:val="39"/>
    <w:unhideWhenUsed/>
    <w:pPr>
      <w:ind w:left="1134" w:right="0" w:firstLine="0"/>
      <w:spacing w:after="57"/>
    </w:pPr>
  </w:style>
  <w:style w:type="paragraph" w:styleId="931">
    <w:name w:val="toc 6"/>
    <w:basedOn w:val="937"/>
    <w:next w:val="937"/>
    <w:uiPriority w:val="39"/>
    <w:unhideWhenUsed/>
    <w:pPr>
      <w:ind w:left="1417" w:right="0" w:firstLine="0"/>
      <w:spacing w:after="57"/>
    </w:pPr>
  </w:style>
  <w:style w:type="paragraph" w:styleId="932">
    <w:name w:val="toc 7"/>
    <w:basedOn w:val="937"/>
    <w:next w:val="937"/>
    <w:uiPriority w:val="39"/>
    <w:unhideWhenUsed/>
    <w:pPr>
      <w:ind w:left="1701" w:right="0" w:firstLine="0"/>
      <w:spacing w:after="57"/>
    </w:pPr>
  </w:style>
  <w:style w:type="paragraph" w:styleId="933">
    <w:name w:val="toc 8"/>
    <w:basedOn w:val="937"/>
    <w:next w:val="937"/>
    <w:uiPriority w:val="39"/>
    <w:unhideWhenUsed/>
    <w:pPr>
      <w:ind w:left="1984" w:right="0" w:firstLine="0"/>
      <w:spacing w:after="57"/>
    </w:pPr>
  </w:style>
  <w:style w:type="paragraph" w:styleId="934">
    <w:name w:val="toc 9"/>
    <w:basedOn w:val="937"/>
    <w:next w:val="937"/>
    <w:uiPriority w:val="39"/>
    <w:unhideWhenUsed/>
    <w:pPr>
      <w:ind w:left="2268" w:right="0" w:firstLine="0"/>
      <w:spacing w:after="57"/>
    </w:pPr>
  </w:style>
  <w:style w:type="paragraph" w:styleId="935">
    <w:name w:val="TOC Heading"/>
    <w:uiPriority w:val="39"/>
    <w:unhideWhenUsed/>
  </w:style>
  <w:style w:type="paragraph" w:styleId="936">
    <w:name w:val="table of figures"/>
    <w:basedOn w:val="937"/>
    <w:next w:val="937"/>
    <w:uiPriority w:val="99"/>
    <w:unhideWhenUsed/>
    <w:pPr>
      <w:spacing w:after="0" w:afterAutospacing="0"/>
    </w:pPr>
  </w:style>
  <w:style w:type="paragraph" w:styleId="937" w:default="1">
    <w:name w:val="Normal"/>
    <w:next w:val="937"/>
    <w:link w:val="937"/>
    <w:qFormat/>
    <w:rPr>
      <w:sz w:val="24"/>
      <w:szCs w:val="24"/>
      <w:lang w:val="ru-RU" w:eastAsia="ru-RU" w:bidi="ar-SA"/>
    </w:rPr>
  </w:style>
  <w:style w:type="paragraph" w:styleId="938">
    <w:name w:val="Заголовок 1"/>
    <w:basedOn w:val="937"/>
    <w:next w:val="937"/>
    <w:link w:val="937"/>
    <w:qFormat/>
    <w:pPr>
      <w:jc w:val="center"/>
      <w:keepNext/>
      <w:outlineLvl w:val="0"/>
    </w:pPr>
    <w:rPr>
      <w:b/>
      <w:szCs w:val="20"/>
    </w:rPr>
  </w:style>
  <w:style w:type="paragraph" w:styleId="939">
    <w:name w:val="Заголовок 2"/>
    <w:basedOn w:val="937"/>
    <w:next w:val="937"/>
    <w:link w:val="937"/>
    <w:qFormat/>
    <w:pPr>
      <w:jc w:val="center"/>
      <w:keepNext/>
      <w:outlineLvl w:val="1"/>
    </w:pPr>
    <w:rPr>
      <w:b/>
      <w:sz w:val="28"/>
      <w:szCs w:val="20"/>
    </w:rPr>
  </w:style>
  <w:style w:type="paragraph" w:styleId="940">
    <w:name w:val="Заголовок 3"/>
    <w:basedOn w:val="937"/>
    <w:next w:val="937"/>
    <w:link w:val="937"/>
    <w:qFormat/>
    <w:pPr>
      <w:ind w:left="720"/>
      <w:keepNext/>
      <w:outlineLvl w:val="2"/>
    </w:pPr>
    <w:rPr>
      <w:b/>
      <w:szCs w:val="20"/>
    </w:rPr>
  </w:style>
  <w:style w:type="character" w:styleId="941">
    <w:name w:val="Основной шрифт абзаца"/>
    <w:next w:val="941"/>
    <w:link w:val="937"/>
    <w:semiHidden/>
  </w:style>
  <w:style w:type="table" w:styleId="942">
    <w:name w:val="Обычная таблица"/>
    <w:next w:val="942"/>
    <w:link w:val="937"/>
    <w:semiHidden/>
    <w:tblPr/>
  </w:style>
  <w:style w:type="numbering" w:styleId="943">
    <w:name w:val="Нет списка"/>
    <w:next w:val="943"/>
    <w:link w:val="937"/>
    <w:semiHidden/>
  </w:style>
  <w:style w:type="paragraph" w:styleId="944">
    <w:name w:val="Основной текст с отступом 2"/>
    <w:basedOn w:val="937"/>
    <w:next w:val="944"/>
    <w:link w:val="937"/>
    <w:pPr>
      <w:ind w:firstLine="720"/>
      <w:jc w:val="both"/>
    </w:pPr>
    <w:rPr>
      <w:szCs w:val="20"/>
    </w:rPr>
  </w:style>
  <w:style w:type="table" w:styleId="945">
    <w:name w:val="Сетка таблицы"/>
    <w:basedOn w:val="942"/>
    <w:next w:val="945"/>
    <w:link w:val="937"/>
    <w:tblPr/>
  </w:style>
  <w:style w:type="paragraph" w:styleId="946">
    <w:name w:val="ConsPlusNormal"/>
    <w:next w:val="946"/>
    <w:link w:val="937"/>
    <w:pPr>
      <w:ind w:firstLine="720"/>
      <w:widowControl w:val="off"/>
    </w:pPr>
    <w:rPr>
      <w:rFonts w:ascii="Arial" w:hAnsi="Arial" w:eastAsia="Arial" w:cs="Arial"/>
      <w:lang w:val="ru-RU" w:eastAsia="ar-SA" w:bidi="ar-SA"/>
    </w:rPr>
  </w:style>
  <w:style w:type="paragraph" w:styleId="947">
    <w:name w:val="Нижний колонтитул"/>
    <w:basedOn w:val="937"/>
    <w:next w:val="947"/>
    <w:link w:val="937"/>
    <w:pPr>
      <w:tabs>
        <w:tab w:val="center" w:pos="4677" w:leader="none"/>
        <w:tab w:val="right" w:pos="9355" w:leader="none"/>
      </w:tabs>
    </w:pPr>
  </w:style>
  <w:style w:type="character" w:styleId="948">
    <w:name w:val="Номер страницы"/>
    <w:basedOn w:val="941"/>
    <w:next w:val="948"/>
    <w:link w:val="937"/>
  </w:style>
  <w:style w:type="character" w:styleId="949">
    <w:name w:val="Гиперссылка"/>
    <w:basedOn w:val="941"/>
    <w:next w:val="949"/>
    <w:link w:val="937"/>
    <w:rPr>
      <w:color w:val="0000ff"/>
      <w:u w:val="single"/>
    </w:rPr>
  </w:style>
  <w:style w:type="paragraph" w:styleId="950">
    <w:name w:val="Основной текст"/>
    <w:basedOn w:val="937"/>
    <w:next w:val="950"/>
    <w:link w:val="937"/>
    <w:pPr>
      <w:jc w:val="both"/>
    </w:pPr>
    <w:rPr>
      <w:sz w:val="22"/>
      <w:szCs w:val="20"/>
    </w:rPr>
  </w:style>
  <w:style w:type="paragraph" w:styleId="951">
    <w:name w:val="Обычный (веб)"/>
    <w:basedOn w:val="937"/>
    <w:next w:val="951"/>
    <w:link w:val="937"/>
    <w:pPr>
      <w:spacing w:before="100" w:beforeAutospacing="1" w:after="100" w:afterAutospacing="1" w:line="288" w:lineRule="auto"/>
    </w:pPr>
    <w:rPr>
      <w:rFonts w:ascii="Arial" w:hAnsi="Arial" w:cs="Arial"/>
      <w:color w:val="333333"/>
      <w:sz w:val="18"/>
      <w:szCs w:val="18"/>
    </w:rPr>
  </w:style>
  <w:style w:type="paragraph" w:styleId="952">
    <w:name w:val="Основной текст с отступом"/>
    <w:basedOn w:val="937"/>
    <w:next w:val="952"/>
    <w:link w:val="937"/>
    <w:pPr>
      <w:ind w:left="283"/>
      <w:spacing w:after="120"/>
    </w:pPr>
    <w:rPr>
      <w:sz w:val="22"/>
      <w:szCs w:val="20"/>
    </w:rPr>
  </w:style>
  <w:style w:type="paragraph" w:styleId="953">
    <w:name w:val="ConsPlusNonformat"/>
    <w:next w:val="953"/>
    <w:link w:val="937"/>
    <w:pPr>
      <w:widowControl w:val="off"/>
    </w:pPr>
    <w:rPr>
      <w:rFonts w:ascii="Courier New" w:hAnsi="Courier New" w:cs="Courier New"/>
      <w:lang w:val="ru-RU" w:eastAsia="ru-RU" w:bidi="ar-SA"/>
    </w:rPr>
  </w:style>
  <w:style w:type="paragraph" w:styleId="954">
    <w:name w:val="ConsNormal"/>
    <w:next w:val="954"/>
    <w:link w:val="937"/>
    <w:pPr>
      <w:ind w:firstLine="720"/>
    </w:pPr>
    <w:rPr>
      <w:rFonts w:ascii="Consultant" w:hAnsi="Consultant" w:eastAsia="Arial"/>
      <w:lang w:val="ru-RU" w:eastAsia="ar-SA" w:bidi="ar-SA"/>
    </w:rPr>
  </w:style>
  <w:style w:type="paragraph" w:styleId="955">
    <w:name w:val="Верхний колонтитул"/>
    <w:basedOn w:val="937"/>
    <w:next w:val="955"/>
    <w:link w:val="937"/>
    <w:pPr>
      <w:tabs>
        <w:tab w:val="center" w:pos="4677" w:leader="none"/>
        <w:tab w:val="right" w:pos="9355" w:leader="none"/>
      </w:tabs>
    </w:pPr>
    <w:rPr>
      <w:sz w:val="22"/>
      <w:szCs w:val="20"/>
    </w:rPr>
  </w:style>
  <w:style w:type="paragraph" w:styleId="956">
    <w:name w:val="No Spacing"/>
    <w:next w:val="956"/>
    <w:link w:val="937"/>
    <w:rPr>
      <w:rFonts w:ascii="Calibri" w:hAnsi="Calibri"/>
      <w:sz w:val="22"/>
      <w:szCs w:val="22"/>
      <w:lang w:val="ru-RU" w:eastAsia="ru-RU" w:bidi="ar-SA"/>
    </w:rPr>
  </w:style>
  <w:style w:type="paragraph" w:styleId="957">
    <w:name w:val="Стиль3"/>
    <w:basedOn w:val="944"/>
    <w:next w:val="957"/>
    <w:link w:val="937"/>
    <w:pPr>
      <w:numPr>
        <w:ilvl w:val="0"/>
        <w:numId w:val="22"/>
      </w:numPr>
      <w:ind w:left="1080" w:firstLine="0"/>
      <w:widowControl w:val="off"/>
      <w:tabs>
        <w:tab w:val="num" w:pos="1307" w:leader="none"/>
      </w:tabs>
    </w:pPr>
  </w:style>
  <w:style w:type="paragraph" w:styleId="958">
    <w:name w:val="Основной текст с отступом 3"/>
    <w:basedOn w:val="937"/>
    <w:next w:val="958"/>
    <w:link w:val="937"/>
    <w:pPr>
      <w:ind w:firstLine="360"/>
      <w:jc w:val="both"/>
      <w:widowControl w:val="off"/>
      <w:tabs>
        <w:tab w:val="num" w:pos="720" w:leader="none"/>
      </w:tabs>
    </w:pPr>
    <w:rPr>
      <w:i/>
      <w:iCs/>
      <w:sz w:val="28"/>
    </w:rPr>
  </w:style>
  <w:style w:type="paragraph" w:styleId="959">
    <w:name w:val="Название"/>
    <w:basedOn w:val="937"/>
    <w:next w:val="959"/>
    <w:link w:val="937"/>
    <w:qFormat/>
    <w:pPr>
      <w:ind w:left="340" w:right="400"/>
      <w:jc w:val="center"/>
      <w:spacing w:line="480" w:lineRule="exact"/>
      <w:widowControl w:val="off"/>
    </w:pPr>
    <w:rPr>
      <w:sz w:val="28"/>
      <w:szCs w:val="28"/>
    </w:rPr>
  </w:style>
  <w:style w:type="paragraph" w:styleId="960">
    <w:name w:val="Style12"/>
    <w:basedOn w:val="937"/>
    <w:next w:val="960"/>
    <w:link w:val="937"/>
    <w:pPr>
      <w:jc w:val="both"/>
      <w:spacing w:line="250" w:lineRule="exact"/>
      <w:widowControl w:val="off"/>
    </w:pPr>
  </w:style>
  <w:style w:type="paragraph" w:styleId="961">
    <w:name w:val="Style16"/>
    <w:basedOn w:val="937"/>
    <w:next w:val="961"/>
    <w:link w:val="937"/>
    <w:pPr>
      <w:ind w:firstLine="624"/>
      <w:jc w:val="both"/>
      <w:spacing w:line="252" w:lineRule="exact"/>
      <w:widowControl w:val="off"/>
    </w:pPr>
  </w:style>
  <w:style w:type="paragraph" w:styleId="962">
    <w:name w:val="Style20"/>
    <w:basedOn w:val="937"/>
    <w:next w:val="962"/>
    <w:link w:val="937"/>
    <w:pPr>
      <w:ind w:firstLine="466"/>
      <w:jc w:val="both"/>
      <w:spacing w:line="259" w:lineRule="exact"/>
      <w:widowControl w:val="off"/>
    </w:pPr>
  </w:style>
  <w:style w:type="paragraph" w:styleId="963">
    <w:name w:val="Style22"/>
    <w:basedOn w:val="937"/>
    <w:next w:val="963"/>
    <w:link w:val="937"/>
    <w:pPr>
      <w:ind w:firstLine="552"/>
      <w:jc w:val="both"/>
      <w:spacing w:line="254" w:lineRule="exact"/>
      <w:widowControl w:val="off"/>
    </w:pPr>
  </w:style>
  <w:style w:type="character" w:styleId="964">
    <w:name w:val="Font Style25"/>
    <w:next w:val="964"/>
    <w:link w:val="937"/>
    <w:rPr>
      <w:rFonts w:ascii="Times New Roman" w:hAnsi="Times New Roman" w:cs="Times New Roman"/>
      <w:b/>
      <w:bCs/>
      <w:sz w:val="22"/>
      <w:szCs w:val="22"/>
    </w:rPr>
  </w:style>
  <w:style w:type="character" w:styleId="965">
    <w:name w:val="Font Style29"/>
    <w:next w:val="965"/>
    <w:link w:val="937"/>
    <w:rPr>
      <w:rFonts w:ascii="Times New Roman" w:hAnsi="Times New Roman" w:cs="Times New Roman"/>
      <w:sz w:val="22"/>
      <w:szCs w:val="22"/>
    </w:rPr>
  </w:style>
  <w:style w:type="paragraph" w:styleId="966">
    <w:name w:val="Style6"/>
    <w:basedOn w:val="937"/>
    <w:next w:val="966"/>
    <w:link w:val="937"/>
    <w:pPr>
      <w:ind w:firstLine="509"/>
      <w:jc w:val="both"/>
      <w:spacing w:line="254" w:lineRule="exact"/>
      <w:widowControl w:val="off"/>
    </w:pPr>
  </w:style>
  <w:style w:type="character" w:styleId="967" w:default="1">
    <w:name w:val="Default Paragraph Font"/>
    <w:uiPriority w:val="1"/>
    <w:semiHidden/>
    <w:unhideWhenUsed/>
  </w:style>
  <w:style w:type="numbering" w:styleId="968" w:default="1">
    <w:name w:val="No List"/>
    <w:uiPriority w:val="99"/>
    <w:semiHidden/>
    <w:unhideWhenUsed/>
  </w:style>
  <w:style w:type="table" w:styleId="969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footer" Target="footer2.xml" /><Relationship Id="rId11" Type="http://schemas.openxmlformats.org/officeDocument/2006/relationships/hyperlink" Target="https://taishet.irkmo.ru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Р7-Офис/2024.1.3.422</Application>
  <Company>MoBIL GROUP</Company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Otdkumi2</dc:creator>
  <cp:revision>20</cp:revision>
  <dcterms:created xsi:type="dcterms:W3CDTF">2024-10-31T08:01:00Z</dcterms:created>
  <dcterms:modified xsi:type="dcterms:W3CDTF">2026-06-15T04:51:38Z</dcterms:modified>
  <cp:version>786432</cp:version>
</cp:coreProperties>
</file>